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36"/>
          <w:szCs w:val="36"/>
        </w:rPr>
      </w:pPr>
      <w:r w:rsidDel="00000000" w:rsidR="00000000" w:rsidRPr="00000000">
        <w:rPr>
          <w:rFonts w:ascii="Arial" w:cs="Arial" w:eastAsia="Arial" w:hAnsi="Arial"/>
          <w:color w:val="000000"/>
          <w:sz w:val="24"/>
          <w:szCs w:val="24"/>
          <w:rtl w:val="0"/>
        </w:rPr>
        <w:tab/>
      </w:r>
      <w:r w:rsidDel="00000000" w:rsidR="00000000" w:rsidRPr="00000000">
        <w:rPr>
          <w:rFonts w:ascii="Arial" w:cs="Arial" w:eastAsia="Arial" w:hAnsi="Arial"/>
          <w:color w:val="000000"/>
          <w:sz w:val="24"/>
          <w:szCs w:val="24"/>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r w:rsidDel="00000000" w:rsidR="00000000" w:rsidRPr="00000000">
        <w:rPr>
          <w:rFonts w:ascii="Arial" w:cs="Arial" w:eastAsia="Arial" w:hAnsi="Arial"/>
          <w:color w:val="000000"/>
          <w:sz w:val="36"/>
          <w:szCs w:val="36"/>
          <w:rtl w:val="0"/>
        </w:rPr>
        <w:t xml:space="preserve">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9026.0" w:type="dxa"/>
        <w:jc w:val="left"/>
        <w:tblInd w:w="284.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13"/>
        <w:gridCol w:w="4513"/>
        <w:tblGridChange w:id="0">
          <w:tblGrid>
            <w:gridCol w:w="4513"/>
            <w:gridCol w:w="4513"/>
          </w:tblGrid>
        </w:tblGridChange>
      </w:tblGrid>
      <w:tr>
        <w:trPr>
          <w:cantSplit w:val="0"/>
          <w:trHeight w:val="1061.953125"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177" w:hanging="41"/>
              <w:jc w:val="left"/>
              <w:rPr/>
            </w:pPr>
            <w:r w:rsidDel="00000000" w:rsidR="00000000" w:rsidRPr="00000000">
              <w:rPr>
                <w:rFonts w:ascii="Arial" w:cs="Arial" w:eastAsia="Arial" w:hAnsi="Arial"/>
                <w:b w:val="1"/>
                <w:color w:val="000000"/>
                <w:sz w:val="24"/>
                <w:szCs w:val="24"/>
                <w:rtl w:val="0"/>
              </w:rPr>
              <w:t xml:space="preserve">“Board”</w:t>
            </w:r>
            <w:r w:rsidDel="00000000" w:rsidR="00000000" w:rsidRPr="00000000">
              <w:rPr>
                <w:rtl w:val="0"/>
              </w:rPr>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ind w:left="454" w:firstLine="0"/>
              <w:jc w:val="left"/>
              <w:rPr/>
            </w:pPr>
            <w:r w:rsidDel="00000000" w:rsidR="00000000" w:rsidRPr="00000000">
              <w:rPr>
                <w:rFonts w:ascii="Arial" w:cs="Arial" w:eastAsia="Arial" w:hAnsi="Arial"/>
                <w:color w:val="000000"/>
                <w:sz w:val="24"/>
                <w:szCs w:val="24"/>
                <w:rtl w:val="0"/>
              </w:rPr>
              <w:t xml:space="preserve">means the Supplier’s board of directors;</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177" w:hanging="41"/>
              <w:jc w:val="left"/>
              <w:rPr/>
            </w:pPr>
            <w:r w:rsidDel="00000000" w:rsidR="00000000" w:rsidRPr="00000000">
              <w:rPr>
                <w:rFonts w:ascii="Arial" w:cs="Arial" w:eastAsia="Arial" w:hAnsi="Arial"/>
                <w:b w:val="1"/>
                <w:color w:val="000000"/>
                <w:sz w:val="24"/>
                <w:szCs w:val="24"/>
                <w:rtl w:val="0"/>
              </w:rPr>
              <w:t xml:space="preserve">“Board Confirmation”</w:t>
            </w: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454" w:firstLine="0"/>
              <w:jc w:val="left"/>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177" w:hanging="41"/>
              <w:jc w:val="left"/>
              <w:rPr/>
            </w:pPr>
            <w:r w:rsidDel="00000000" w:rsidR="00000000" w:rsidRPr="00000000">
              <w:rPr>
                <w:rFonts w:ascii="Arial" w:cs="Arial" w:eastAsia="Arial" w:hAnsi="Arial"/>
                <w:b w:val="1"/>
                <w:color w:val="000000"/>
                <w:sz w:val="24"/>
                <w:szCs w:val="24"/>
                <w:rtl w:val="0"/>
              </w:rPr>
              <w:t xml:space="preserve">“Bronze Contract”</w:t>
            </w:r>
            <w:r w:rsidDel="00000000" w:rsidR="00000000" w:rsidRPr="00000000">
              <w:rPr>
                <w:rtl w:val="0"/>
              </w:rPr>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left="454" w:firstLine="0"/>
              <w:jc w:val="left"/>
              <w:rPr/>
            </w:pPr>
            <w:r w:rsidDel="00000000" w:rsidR="00000000" w:rsidRPr="00000000">
              <w:rPr>
                <w:rFonts w:ascii="Arial" w:cs="Arial" w:eastAsia="Arial" w:hAnsi="Arial"/>
                <w:color w:val="000000"/>
                <w:sz w:val="24"/>
                <w:szCs w:val="24"/>
                <w:rtl w:val="0"/>
              </w:rPr>
              <w:t xml:space="preserve">A Call-Off Contract categorised as a Bronze contract using the Cabinet Office Contract Tiering Tool;</w:t>
            </w: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left="177" w:hanging="41"/>
              <w:jc w:val="left"/>
              <w:rPr/>
            </w:pPr>
            <w:r w:rsidDel="00000000" w:rsidR="00000000" w:rsidRPr="00000000">
              <w:rPr>
                <w:rFonts w:ascii="Arial" w:cs="Arial" w:eastAsia="Arial" w:hAnsi="Arial"/>
                <w:b w:val="1"/>
                <w:color w:val="000000"/>
                <w:sz w:val="24"/>
                <w:szCs w:val="24"/>
                <w:rtl w:val="0"/>
              </w:rPr>
              <w:t xml:space="preserve">“Cabinet Office Markets and Suppliers Team”</w:t>
            </w: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ind w:left="454" w:firstLine="0"/>
              <w:jc w:val="left"/>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r w:rsidDel="00000000" w:rsidR="00000000" w:rsidRPr="00000000">
              <w:rPr>
                <w:rtl w:val="0"/>
              </w:rPr>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177" w:hanging="41"/>
              <w:jc w:val="left"/>
              <w:rPr/>
            </w:pPr>
            <w:r w:rsidDel="00000000" w:rsidR="00000000" w:rsidRPr="00000000">
              <w:rPr>
                <w:rFonts w:ascii="Arial" w:cs="Arial" w:eastAsia="Arial" w:hAnsi="Arial"/>
                <w:b w:val="1"/>
                <w:color w:val="000000"/>
                <w:sz w:val="24"/>
                <w:szCs w:val="24"/>
                <w:rtl w:val="0"/>
              </w:rPr>
              <w:t xml:space="preserve">“Credit Rating Threshold”</w:t>
            </w:r>
            <w:r w:rsidDel="00000000" w:rsidR="00000000" w:rsidRPr="00000000">
              <w:rPr>
                <w:rtl w:val="0"/>
              </w:rPr>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454" w:firstLine="0"/>
              <w:jc w:val="left"/>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1 to this Schedule;</w:t>
            </w:r>
            <w:r w:rsidDel="00000000" w:rsidR="00000000" w:rsidRPr="00000000">
              <w:rPr>
                <w:rtl w:val="0"/>
              </w:rPr>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177" w:hanging="41"/>
              <w:jc w:val="left"/>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FDE </w:t>
            </w:r>
            <w:r w:rsidDel="00000000" w:rsidR="00000000" w:rsidRPr="00000000">
              <w:rPr>
                <w:rFonts w:ascii="Arial" w:cs="Arial" w:eastAsia="Arial" w:hAnsi="Arial"/>
                <w:b w:val="1"/>
                <w:color w:val="000000"/>
                <w:sz w:val="24"/>
                <w:szCs w:val="24"/>
                <w:rtl w:val="0"/>
              </w:rPr>
              <w:t xml:space="preserve">Group”</w:t>
            </w: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454" w:firstLine="0"/>
              <w:jc w:val="left"/>
              <w:rPr/>
            </w:pPr>
            <w:r w:rsidDel="00000000" w:rsidR="00000000" w:rsidRPr="00000000">
              <w:rPr>
                <w:rFonts w:ascii="Arial" w:cs="Arial" w:eastAsia="Arial" w:hAnsi="Arial"/>
                <w:color w:val="000000"/>
                <w:sz w:val="24"/>
                <w:szCs w:val="24"/>
                <w:rtl w:val="0"/>
              </w:rPr>
              <w:t xml:space="preserve">means the [Supplier, Key and Sub-contractors];</w:t>
            </w: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177" w:hanging="41"/>
              <w:jc w:val="left"/>
              <w:rPr/>
            </w:pPr>
            <w:r w:rsidDel="00000000" w:rsidR="00000000" w:rsidRPr="00000000">
              <w:rPr>
                <w:rFonts w:ascii="Arial" w:cs="Arial" w:eastAsia="Arial" w:hAnsi="Arial"/>
                <w:b w:val="1"/>
                <w:color w:val="000000"/>
                <w:sz w:val="24"/>
                <w:szCs w:val="24"/>
                <w:rtl w:val="0"/>
              </w:rPr>
              <w:t xml:space="preserve">“Financial Distress Event”</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454" w:firstLine="0"/>
              <w:jc w:val="left"/>
              <w:rPr/>
            </w:pPr>
            <w:r w:rsidDel="00000000" w:rsidR="00000000" w:rsidRPr="00000000">
              <w:rPr>
                <w:rFonts w:ascii="Arial" w:cs="Arial" w:eastAsia="Arial" w:hAnsi="Arial"/>
                <w:color w:val="000000"/>
                <w:sz w:val="24"/>
                <w:szCs w:val="24"/>
                <w:rtl w:val="0"/>
              </w:rPr>
              <w:t xml:space="preserve">Any of the events listed in Paragraph 3.1 of this Schedule;</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177" w:hanging="41"/>
              <w:jc w:val="left"/>
              <w:rPr/>
            </w:pPr>
            <w:r w:rsidDel="00000000" w:rsidR="00000000" w:rsidRPr="00000000">
              <w:rPr>
                <w:rFonts w:ascii="Arial" w:cs="Arial" w:eastAsia="Arial" w:hAnsi="Arial"/>
                <w:b w:val="1"/>
                <w:color w:val="000000"/>
                <w:sz w:val="24"/>
                <w:szCs w:val="24"/>
                <w:rtl w:val="0"/>
              </w:rPr>
              <w:t xml:space="preserve">“Financial Distress Remediation Plan”</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454" w:firstLine="0"/>
              <w:jc w:val="left"/>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r w:rsidDel="00000000" w:rsidR="00000000" w:rsidRPr="00000000">
              <w:rPr>
                <w:rtl w:val="0"/>
              </w:rPr>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177" w:hanging="41"/>
              <w:jc w:val="left"/>
              <w:rPr/>
            </w:pPr>
            <w:bookmarkStart w:colFirst="0" w:colLast="0" w:name="_heading=h.3dy6vkm" w:id="0"/>
            <w:bookmarkEnd w:id="0"/>
            <w:r w:rsidDel="00000000" w:rsidR="00000000" w:rsidRPr="00000000">
              <w:rPr>
                <w:rFonts w:ascii="Arial" w:cs="Arial" w:eastAsia="Arial" w:hAnsi="Arial"/>
                <w:b w:val="1"/>
                <w:color w:val="000000"/>
                <w:sz w:val="24"/>
                <w:szCs w:val="24"/>
                <w:rtl w:val="0"/>
              </w:rPr>
              <w:t xml:space="preserve">“Financial Indicators”</w:t>
            </w: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ind w:left="454" w:firstLine="0"/>
              <w:jc w:val="left"/>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ind w:left="177" w:hanging="41"/>
              <w:jc w:val="left"/>
              <w:rPr/>
            </w:pPr>
            <w:r w:rsidDel="00000000" w:rsidR="00000000" w:rsidRPr="00000000">
              <w:rPr>
                <w:rFonts w:ascii="Arial" w:cs="Arial" w:eastAsia="Arial" w:hAnsi="Arial"/>
                <w:b w:val="1"/>
                <w:color w:val="000000"/>
                <w:sz w:val="24"/>
                <w:szCs w:val="24"/>
                <w:rtl w:val="0"/>
              </w:rPr>
              <w:t xml:space="preserve">“Financial Target Thresholds”</w:t>
            </w:r>
            <w:r w:rsidDel="00000000" w:rsidR="00000000" w:rsidRPr="00000000">
              <w:rPr>
                <w:rtl w:val="0"/>
              </w:rPr>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454" w:firstLine="0"/>
              <w:jc w:val="left"/>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r w:rsidDel="00000000" w:rsidR="00000000" w:rsidRPr="00000000">
              <w:rPr>
                <w:rtl w:val="0"/>
              </w:rPr>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177" w:hanging="41"/>
              <w:jc w:val="left"/>
              <w:rPr/>
            </w:pPr>
            <w:r w:rsidDel="00000000" w:rsidR="00000000" w:rsidRPr="00000000">
              <w:rPr>
                <w:rFonts w:ascii="Arial" w:cs="Arial" w:eastAsia="Arial" w:hAnsi="Arial"/>
                <w:b w:val="1"/>
                <w:color w:val="000000"/>
                <w:sz w:val="24"/>
                <w:szCs w:val="24"/>
                <w:rtl w:val="0"/>
              </w:rPr>
              <w:t xml:space="preserve">“Rating Agencies”</w:t>
            </w:r>
            <w:r w:rsidDel="00000000" w:rsidR="00000000" w:rsidRPr="00000000">
              <w:rPr>
                <w:rtl w:val="0"/>
              </w:rPr>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454" w:firstLine="0"/>
              <w:jc w:val="left"/>
              <w:rPr/>
            </w:pPr>
            <w:r w:rsidDel="00000000" w:rsidR="00000000" w:rsidRPr="00000000">
              <w:rPr>
                <w:rFonts w:ascii="Arial" w:cs="Arial" w:eastAsia="Arial" w:hAnsi="Arial"/>
                <w:color w:val="000000"/>
                <w:sz w:val="24"/>
                <w:szCs w:val="24"/>
                <w:rtl w:val="0"/>
              </w:rPr>
              <w:t xml:space="preserve">The rating agencies listed in Annex 1 of this Schedule;</w:t>
            </w:r>
            <w:r w:rsidDel="00000000" w:rsidR="00000000" w:rsidRPr="00000000">
              <w:rPr>
                <w:rtl w:val="0"/>
              </w:rPr>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left="177" w:hanging="41"/>
              <w:jc w:val="left"/>
              <w:rPr/>
            </w:pPr>
            <w:r w:rsidDel="00000000" w:rsidR="00000000" w:rsidRPr="00000000">
              <w:rPr>
                <w:rFonts w:ascii="Arial" w:cs="Arial" w:eastAsia="Arial" w:hAnsi="Arial"/>
                <w:b w:val="1"/>
                <w:color w:val="000000"/>
                <w:sz w:val="24"/>
                <w:szCs w:val="24"/>
                <w:rtl w:val="0"/>
              </w:rPr>
              <w:t xml:space="preserve">“Strategic Supplier”</w:t>
            </w: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454" w:firstLine="0"/>
              <w:jc w:val="left"/>
              <w:rPr/>
            </w:pPr>
            <w:r w:rsidDel="00000000" w:rsidR="00000000" w:rsidRPr="00000000">
              <w:rPr>
                <w:rFonts w:ascii="Arial" w:cs="Arial" w:eastAsia="Arial" w:hAnsi="Arial"/>
                <w:color w:val="000000"/>
                <w:sz w:val="24"/>
                <w:szCs w:val="24"/>
                <w:rtl w:val="0"/>
              </w:rPr>
              <w:t xml:space="preserve">means those suppliers to government listed at </w:t>
            </w:r>
            <w:hyperlink r:id="rId7">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2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Warranties and duty to notify</w:t>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report submitted by the Supplier pursuant to paragraph 2.3.2 shall:</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Distress events</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38">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9">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3A">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3B">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3C">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b w:val="1"/>
          <w:color w:val="00000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3F">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Consequences</w:t>
      </w:r>
      <w:r w:rsidDel="00000000" w:rsidR="00000000" w:rsidRPr="00000000">
        <w:rPr>
          <w:rFonts w:ascii="Arial Bold" w:cs="Arial Bold" w:eastAsia="Arial Bold" w:hAnsi="Arial Bold"/>
          <w:color w:val="000000"/>
          <w:sz w:val="24"/>
          <w:szCs w:val="24"/>
          <w:rtl w:val="0"/>
        </w:rPr>
        <w:t xml:space="preserve"> of Financial Distress Events</w:t>
      </w:r>
      <w:r w:rsidDel="00000000" w:rsidR="00000000" w:rsidRPr="00000000">
        <w:rPr>
          <w:rtl w:val="0"/>
        </w:rPr>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Guarantor and/or any relevant Key Sub-contractor shall):</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7">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8">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4E">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w:t>
      </w:r>
      <w:r w:rsidDel="00000000" w:rsidR="00000000" w:rsidRPr="00000000">
        <w:rPr>
          <w:rFonts w:ascii="Arial" w:cs="Arial" w:eastAsia="Arial" w:hAnsi="Arial"/>
          <w:sz w:val="24"/>
          <w:szCs w:val="24"/>
          <w:rtl w:val="0"/>
        </w:rPr>
        <w:t xml:space="preserve"> and</w:t>
      </w:r>
      <w:r w:rsidDel="00000000" w:rsidR="00000000" w:rsidRPr="00000000">
        <w:rPr>
          <w:rFonts w:ascii="Arial" w:cs="Arial" w:eastAsia="Arial" w:hAnsi="Arial"/>
          <w:color w:val="000000"/>
          <w:sz w:val="24"/>
          <w:szCs w:val="24"/>
          <w:rtl w:val="0"/>
        </w:rPr>
        <w:t xml:space="preserve"> the Guarantor authorising the disclosure of the information to the Buyer and/or entering into confidentiality agreements which permit disclosure;</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w:t>
      </w:r>
      <w:r w:rsidDel="00000000" w:rsidR="00000000" w:rsidRPr="00000000">
        <w:rPr>
          <w:rFonts w:ascii="Arial" w:cs="Arial" w:eastAsia="Arial" w:hAnsi="Arial"/>
          <w:sz w:val="24"/>
          <w:szCs w:val="24"/>
          <w:rtl w:val="0"/>
        </w:rPr>
        <w:t xml:space="preserve"> and</w:t>
      </w:r>
      <w:r w:rsidDel="00000000" w:rsidR="00000000" w:rsidRPr="00000000">
        <w:rPr>
          <w:rFonts w:ascii="Arial" w:cs="Arial" w:eastAsia="Arial" w:hAnsi="Arial"/>
          <w:color w:val="000000"/>
          <w:sz w:val="24"/>
          <w:szCs w:val="24"/>
          <w:rtl w:val="0"/>
        </w:rPr>
        <w:t xml:space="preserve"> the Guarantor a form of confidentiality agreement to be entered by the relevant parties to enable the disclosure of the information to the Relevant Authority;</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7">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Indicators</w:t>
      </w:r>
    </w:p>
    <w:p w:rsidR="00000000" w:rsidDel="00000000" w:rsidP="00000000" w:rsidRDefault="00000000" w:rsidRPr="00000000" w14:paraId="00000058">
      <w:pPr>
        <w:rPr>
          <w:rFonts w:ascii="Arial" w:cs="Arial" w:eastAsia="Arial" w:hAnsi="Arial"/>
          <w:sz w:val="24"/>
          <w:szCs w:val="24"/>
        </w:rPr>
      </w:pPr>
      <w:r w:rsidDel="00000000" w:rsidR="00000000" w:rsidRPr="00000000">
        <w:rPr>
          <w:rFonts w:ascii="Arial" w:cs="Arial" w:eastAsia="Arial" w:hAnsi="Arial"/>
          <w:sz w:val="24"/>
          <w:szCs w:val="24"/>
          <w:rtl w:val="0"/>
        </w:rPr>
        <w:t xml:space="preserve">[Guidance: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w:t>
            </w:r>
            <w:r w:rsidDel="00000000" w:rsidR="00000000" w:rsidRPr="00000000">
              <w:rPr>
                <w:rFonts w:ascii="Arial" w:cs="Arial" w:eastAsia="Arial" w:hAnsi="Arial"/>
                <w:b w:val="1"/>
                <w:color w:val="000000"/>
                <w:sz w:val="24"/>
                <w:szCs w:val="24"/>
                <w:rtl w:val="0"/>
              </w:rPr>
              <w:t xml:space="preserve">Indicator</w:t>
            </w:r>
          </w:p>
        </w:tc>
        <w:tc>
          <w:tcPr>
            <w:shd w:fill="d9d9d9" w:val="cle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Calculation</w:t>
            </w:r>
            <w:r w:rsidDel="00000000" w:rsidR="00000000" w:rsidRPr="00000000">
              <w:rPr>
                <w:rFonts w:ascii="Arial" w:cs="Arial" w:eastAsia="Arial" w:hAnsi="Arial"/>
                <w:b w:val="1"/>
                <w:color w:val="000000"/>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w:t>
            </w:r>
          </w:p>
        </w:tc>
        <w:tc>
          <w:tcPr>
            <w:shd w:fill="d9d9d9" w:val="cle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bookmarkStart w:colFirst="0" w:colLast="0" w:name="_heading=h.1ci93xb" w:id="1"/>
            <w:bookmarkEnd w:id="1"/>
            <w:r w:rsidDel="00000000" w:rsidR="00000000" w:rsidRPr="00000000">
              <w:rPr>
                <w:rFonts w:ascii="Arial" w:cs="Arial" w:eastAsia="Arial" w:hAnsi="Arial"/>
                <w:b w:val="1"/>
                <w:color w:val="000000"/>
                <w:sz w:val="24"/>
                <w:szCs w:val="24"/>
                <w:rtl w:val="0"/>
              </w:rPr>
              <w:t xml:space="preserve">Monitoring and Reporting Frequency [if different from the default position set out in Paragraph 2.3(b)]</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E">
            <w:pPr>
              <w:spacing w:after="240"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r>
          </w:p>
          <w:p w:rsidR="00000000" w:rsidDel="00000000" w:rsidP="00000000" w:rsidRDefault="00000000" w:rsidRPr="00000000" w14:paraId="0000005F">
            <w:pPr>
              <w:spacing w:after="240"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Turnover ratio</w:t>
            </w:r>
          </w:p>
          <w:p w:rsidR="00000000" w:rsidDel="00000000" w:rsidP="00000000" w:rsidRDefault="00000000" w:rsidRPr="00000000" w14:paraId="00000060">
            <w:pPr>
              <w:spacing w:after="240"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61">
            <w:pPr>
              <w:spacing w:after="240" w:befor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[Turnover Ratio = Total Income/Annual Contract Value]</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62">
            <w:pPr>
              <w:spacing w:after="240" w:befor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&gt; 1.2 times [1.2 times or higher than 1.2]</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63">
            <w:pPr>
              <w:spacing w:after="240" w:befor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64">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 </w:t>
            </w:r>
          </w:p>
          <w:p w:rsidR="00000000" w:rsidDel="00000000" w:rsidP="00000000" w:rsidRDefault="00000000" w:rsidRPr="00000000" w14:paraId="00000065">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Operating Margin</w:t>
            </w:r>
          </w:p>
          <w:p w:rsidR="00000000" w:rsidDel="00000000" w:rsidP="00000000" w:rsidRDefault="00000000" w:rsidRPr="00000000" w14:paraId="00000066">
            <w:pPr>
              <w:spacing w:after="200" w:before="100" w:lineRule="auto"/>
              <w:jc w:val="left"/>
              <w:rPr>
                <w:rFonts w:ascii="Arial" w:cs="Arial" w:eastAsia="Arial" w:hAnsi="Arial"/>
                <w:b w:val="1"/>
                <w:sz w:val="24"/>
                <w:szCs w:val="24"/>
              </w:rPr>
            </w:pPr>
            <w:r w:rsidDel="00000000" w:rsidR="00000000" w:rsidRPr="00000000">
              <w:rPr>
                <w:rtl w:val="0"/>
              </w:rPr>
            </w:r>
          </w:p>
        </w:tc>
        <w:tc>
          <w:tcPr>
            <w:vAlign w:val="center"/>
          </w:tcPr>
          <w:p w:rsidR="00000000" w:rsidDel="00000000" w:rsidP="00000000" w:rsidRDefault="00000000" w:rsidRPr="00000000" w14:paraId="00000067">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[Operating Margin = Operating Profit / Revenue]</w:t>
            </w:r>
          </w:p>
        </w:tc>
        <w:tc>
          <w:tcPr>
            <w:vAlign w:val="center"/>
          </w:tcPr>
          <w:p w:rsidR="00000000" w:rsidDel="00000000" w:rsidP="00000000" w:rsidRDefault="00000000" w:rsidRPr="00000000" w14:paraId="00000068">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&gt; 5% [5% or higher than 5%]</w:t>
            </w:r>
          </w:p>
        </w:tc>
        <w:tc>
          <w:tcPr>
            <w:vAlign w:val="center"/>
          </w:tcPr>
          <w:p w:rsidR="00000000" w:rsidDel="00000000" w:rsidP="00000000" w:rsidRDefault="00000000" w:rsidRPr="00000000" w14:paraId="00000069">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for the 12 months ending on the relevant accounting reference date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6A">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p w:rsidR="00000000" w:rsidDel="00000000" w:rsidP="00000000" w:rsidRDefault="00000000" w:rsidRPr="00000000" w14:paraId="0000006B">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to EBITDA Ratio</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6C">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[Net Debt to EBITDA ratio = Net Debt / EBITDA]</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6D">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&lt; 3.5 times [3.5 times or lower than 3.5]</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6E">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sz w:val="24"/>
                <w:szCs w:val="24"/>
                <w:rtl w:val="0"/>
              </w:rPr>
              <w:t xml:space="preserve">in arrears within 90 days of each accounting reference date based upon EBITDA for the 12 months ending on, and Net Debt at, the relevant accounting reference date</w:t>
            </w:r>
          </w:p>
        </w:tc>
      </w:tr>
      <w:tr>
        <w:trPr>
          <w:cantSplit w:val="0"/>
          <w:tblHeader w:val="0"/>
        </w:trPr>
        <w:tc>
          <w:tcPr>
            <w:vAlign w:val="center"/>
          </w:tcPr>
          <w:p w:rsidR="00000000" w:rsidDel="00000000" w:rsidP="00000000" w:rsidRDefault="00000000" w:rsidRPr="00000000" w14:paraId="0000006F">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p>
          <w:p w:rsidR="00000000" w:rsidDel="00000000" w:rsidP="00000000" w:rsidRDefault="00000000" w:rsidRPr="00000000" w14:paraId="00000070">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 Net Pension Deficit to EBITDA ratio</w:t>
            </w:r>
          </w:p>
        </w:tc>
        <w:tc>
          <w:tcPr>
            <w:vAlign w:val="center"/>
          </w:tcPr>
          <w:p w:rsidR="00000000" w:rsidDel="00000000" w:rsidP="00000000" w:rsidRDefault="00000000" w:rsidRPr="00000000" w14:paraId="00000071">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[Net Debt + Net Pension Deficit to EBITDA Ratio = (Net Debt + Net Pension Deficit) / EBITDA]</w:t>
            </w:r>
          </w:p>
        </w:tc>
        <w:tc>
          <w:tcPr>
            <w:vAlign w:val="center"/>
          </w:tcPr>
          <w:p w:rsidR="00000000" w:rsidDel="00000000" w:rsidP="00000000" w:rsidRDefault="00000000" w:rsidRPr="00000000" w14:paraId="00000072">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&lt; 5 times [5 times or lower than 5]</w:t>
            </w:r>
          </w:p>
        </w:tc>
        <w:tc>
          <w:tcPr>
            <w:vAlign w:val="center"/>
          </w:tcPr>
          <w:p w:rsidR="00000000" w:rsidDel="00000000" w:rsidP="00000000" w:rsidRDefault="00000000" w:rsidRPr="00000000" w14:paraId="00000073">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w:t>
            </w:r>
            <w:r w:rsidDel="00000000" w:rsidR="00000000" w:rsidRPr="00000000">
              <w:rPr>
                <w:rFonts w:ascii="Arial" w:cs="Arial" w:eastAsia="Arial" w:hAnsi="Arial"/>
                <w:i w:val="1"/>
                <w:sz w:val="24"/>
                <w:szCs w:val="24"/>
                <w:rtl w:val="0"/>
              </w:rPr>
              <w:t xml:space="preserve">90</w:t>
            </w:r>
            <w:r w:rsidDel="00000000" w:rsidR="00000000" w:rsidRPr="00000000">
              <w:rPr>
                <w:rFonts w:ascii="Arial" w:cs="Arial" w:eastAsia="Arial" w:hAnsi="Arial"/>
                <w:i w:val="1"/>
                <w:color w:val="f79646"/>
                <w:sz w:val="24"/>
                <w:szCs w:val="24"/>
                <w:rtl w:val="0"/>
              </w:rPr>
              <w:t xml:space="preserve"> </w:t>
            </w:r>
            <w:r w:rsidDel="00000000" w:rsidR="00000000" w:rsidRPr="00000000">
              <w:rPr>
                <w:rFonts w:ascii="Arial" w:cs="Arial" w:eastAsia="Arial" w:hAnsi="Arial"/>
                <w:i w:val="1"/>
                <w:sz w:val="24"/>
                <w:szCs w:val="24"/>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4">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w:t>
            </w:r>
          </w:p>
          <w:p w:rsidR="00000000" w:rsidDel="00000000" w:rsidP="00000000" w:rsidRDefault="00000000" w:rsidRPr="00000000" w14:paraId="00000075">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Interest Paid Cover</w:t>
            </w:r>
          </w:p>
        </w:tc>
        <w:tc>
          <w:tcPr>
            <w:vAlign w:val="center"/>
          </w:tcPr>
          <w:p w:rsidR="00000000" w:rsidDel="00000000" w:rsidP="00000000" w:rsidRDefault="00000000" w:rsidRPr="00000000" w14:paraId="00000076">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77">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&gt; 3 times [ratio of 3 or higher than 3]</w:t>
            </w:r>
          </w:p>
        </w:tc>
        <w:tc>
          <w:tcPr>
            <w:vAlign w:val="center"/>
          </w:tcPr>
          <w:p w:rsidR="00000000" w:rsidDel="00000000" w:rsidP="00000000" w:rsidRDefault="00000000" w:rsidRPr="00000000" w14:paraId="00000078">
            <w:pPr>
              <w:spacing w:after="200" w:before="100" w:lineRule="auto"/>
              <w:jc w:val="cente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9">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for the 12 months ending on the relevant accounting reference date </w:t>
            </w:r>
          </w:p>
        </w:tc>
      </w:tr>
      <w:tr>
        <w:trPr>
          <w:cantSplit w:val="0"/>
          <w:tblHeader w:val="0"/>
        </w:trPr>
        <w:tc>
          <w:tcPr>
            <w:vAlign w:val="center"/>
          </w:tcPr>
          <w:p w:rsidR="00000000" w:rsidDel="00000000" w:rsidP="00000000" w:rsidRDefault="00000000" w:rsidRPr="00000000" w14:paraId="0000007A">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w:t>
            </w:r>
          </w:p>
          <w:p w:rsidR="00000000" w:rsidDel="00000000" w:rsidP="00000000" w:rsidRDefault="00000000" w:rsidRPr="00000000" w14:paraId="0000007B">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Acid Ratio</w:t>
            </w:r>
          </w:p>
        </w:tc>
        <w:tc>
          <w:tcPr>
            <w:vAlign w:val="center"/>
          </w:tcPr>
          <w:p w:rsidR="00000000" w:rsidDel="00000000" w:rsidP="00000000" w:rsidRDefault="00000000" w:rsidRPr="00000000" w14:paraId="0000007C">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[Acid Ratio = (Current Assets – Inventories) / Current Liabilities]</w:t>
            </w:r>
          </w:p>
        </w:tc>
        <w:tc>
          <w:tcPr>
            <w:vAlign w:val="center"/>
          </w:tcPr>
          <w:p w:rsidR="00000000" w:rsidDel="00000000" w:rsidP="00000000" w:rsidRDefault="00000000" w:rsidRPr="00000000" w14:paraId="0000007D">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&gt; 1 times [ratio of 1 or higher than 1]</w:t>
            </w:r>
          </w:p>
        </w:tc>
        <w:tc>
          <w:tcPr>
            <w:vAlign w:val="center"/>
          </w:tcPr>
          <w:p w:rsidR="00000000" w:rsidDel="00000000" w:rsidP="00000000" w:rsidRDefault="00000000" w:rsidRPr="00000000" w14:paraId="0000007E">
            <w:pPr>
              <w:spacing w:after="200" w:before="100" w:lineRule="auto"/>
              <w:jc w:val="cente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F">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at the relevant accounting reference date </w:t>
            </w:r>
          </w:p>
        </w:tc>
      </w:tr>
      <w:tr>
        <w:trPr>
          <w:cantSplit w:val="0"/>
          <w:tblHeader w:val="0"/>
        </w:trPr>
        <w:tc>
          <w:tcPr>
            <w:vAlign w:val="center"/>
          </w:tcPr>
          <w:p w:rsidR="00000000" w:rsidDel="00000000" w:rsidP="00000000" w:rsidRDefault="00000000" w:rsidRPr="00000000" w14:paraId="00000080">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w:t>
            </w:r>
          </w:p>
          <w:p w:rsidR="00000000" w:rsidDel="00000000" w:rsidP="00000000" w:rsidRDefault="00000000" w:rsidRPr="00000000" w14:paraId="00000081">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Asset value</w:t>
            </w:r>
          </w:p>
        </w:tc>
        <w:tc>
          <w:tcPr>
            <w:vAlign w:val="center"/>
          </w:tcPr>
          <w:p w:rsidR="00000000" w:rsidDel="00000000" w:rsidP="00000000" w:rsidRDefault="00000000" w:rsidRPr="00000000" w14:paraId="00000082">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[Net Asset Value = Net Assets]</w:t>
            </w:r>
          </w:p>
        </w:tc>
        <w:tc>
          <w:tcPr>
            <w:vAlign w:val="center"/>
          </w:tcPr>
          <w:p w:rsidR="00000000" w:rsidDel="00000000" w:rsidP="00000000" w:rsidRDefault="00000000" w:rsidRPr="00000000" w14:paraId="00000083">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&gt; £0 [£0 or higher than £0]</w:t>
            </w:r>
          </w:p>
        </w:tc>
        <w:tc>
          <w:tcPr>
            <w:vAlign w:val="center"/>
          </w:tcPr>
          <w:p w:rsidR="00000000" w:rsidDel="00000000" w:rsidP="00000000" w:rsidRDefault="00000000" w:rsidRPr="00000000" w14:paraId="00000084">
            <w:pPr>
              <w:spacing w:after="200" w:before="100" w:lineRule="auto"/>
              <w:jc w:val="cente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5">
            <w:pPr>
              <w:spacing w:after="200" w:before="100" w:lineRule="auto"/>
              <w:jc w:val="cente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6">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at the relevant accounting reference date </w:t>
            </w:r>
          </w:p>
        </w:tc>
      </w:tr>
      <w:tr>
        <w:trPr>
          <w:cantSplit w:val="0"/>
          <w:tblHeader w:val="0"/>
        </w:trPr>
        <w:tc>
          <w:tcPr>
            <w:vAlign w:val="center"/>
          </w:tcPr>
          <w:p w:rsidR="00000000" w:rsidDel="00000000" w:rsidP="00000000" w:rsidRDefault="00000000" w:rsidRPr="00000000" w14:paraId="00000087">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w:t>
            </w:r>
          </w:p>
          <w:p w:rsidR="00000000" w:rsidDel="00000000" w:rsidP="00000000" w:rsidRDefault="00000000" w:rsidRPr="00000000" w14:paraId="00000088">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9">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[Group Exposure / Gross Assets]</w:t>
            </w:r>
          </w:p>
        </w:tc>
        <w:tc>
          <w:tcPr>
            <w:vAlign w:val="center"/>
          </w:tcPr>
          <w:p w:rsidR="00000000" w:rsidDel="00000000" w:rsidP="00000000" w:rsidRDefault="00000000" w:rsidRPr="00000000" w14:paraId="0000008A">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&lt; 50% [50% or lower than 50%]</w:t>
            </w:r>
          </w:p>
        </w:tc>
        <w:tc>
          <w:tcPr>
            <w:vAlign w:val="center"/>
          </w:tcPr>
          <w:p w:rsidR="00000000" w:rsidDel="00000000" w:rsidP="00000000" w:rsidRDefault="00000000" w:rsidRPr="00000000" w14:paraId="0000008B">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8E">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rights</w:t>
      </w:r>
    </w:p>
    <w:p w:rsidR="00000000" w:rsidDel="00000000" w:rsidP="00000000" w:rsidRDefault="00000000" w:rsidRPr="00000000" w14:paraId="0000008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9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Primacy of Credit Ratings</w:t>
      </w:r>
    </w:p>
    <w:p w:rsidR="00000000" w:rsidDel="00000000" w:rsidP="00000000" w:rsidRDefault="00000000" w:rsidRPr="00000000" w14:paraId="0000009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9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9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Board confirmation</w:t>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9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9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9F">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Optional Clauses</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Buyer’s Call-Off Contract is a Bronze Contract, if specified in the Order Form, the terms at Annex 5 shall apply to the Call-Off Contract in place of the foregoing terms of this Joint Schedule 7. </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A2">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A3">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&amp; Bradstreet]</w:t>
      </w:r>
    </w:p>
    <w:p w:rsidR="00000000" w:rsidDel="00000000" w:rsidP="00000000" w:rsidRDefault="00000000" w:rsidRPr="00000000" w14:paraId="000000A4">
      <w:pPr>
        <w:keepNext w:val="1"/>
        <w:pBdr>
          <w:top w:space="0" w:sz="0" w:val="nil"/>
          <w:left w:space="0" w:sz="0" w:val="nil"/>
          <w:bottom w:space="0" w:sz="0" w:val="nil"/>
          <w:right w:space="0" w:sz="0" w:val="nil"/>
          <w:between w:space="0" w:sz="0" w:val="nil"/>
        </w:pBdr>
        <w:spacing w:after="120" w:before="240" w:lineRule="auto"/>
        <w:ind w:left="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5">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300" w:before="100" w:lineRule="auto"/>
        <w:rPr>
          <w:rFonts w:ascii="Arial Bold" w:cs="Arial Bold" w:eastAsia="Arial Bold" w:hAnsi="Arial Bold"/>
          <w:b w:val="1"/>
          <w:smallCaps w:val="1"/>
          <w:color w:val="000000"/>
          <w:sz w:val="24"/>
          <w:szCs w:val="24"/>
        </w:rPr>
      </w:pPr>
      <w:bookmarkStart w:colFirst="0" w:colLast="0" w:name="_heading=h.2bn6wsx" w:id="2"/>
      <w:bookmarkEnd w:id="2"/>
      <w:r w:rsidDel="00000000" w:rsidR="00000000" w:rsidRPr="00000000">
        <w:rPr>
          <w:rFonts w:ascii="Arial Bold" w:cs="Arial Bold" w:eastAsia="Arial Bold" w:hAnsi="Arial Bold"/>
          <w:b w:val="1"/>
          <w:color w:val="000000"/>
          <w:sz w:val="24"/>
          <w:szCs w:val="24"/>
          <w:rtl w:val="0"/>
        </w:rPr>
        <w:t xml:space="preserve">Annex </w:t>
      </w:r>
      <w:r w:rsidDel="00000000" w:rsidR="00000000" w:rsidRPr="00000000">
        <w:rPr>
          <w:rFonts w:ascii="Arial Bold" w:cs="Arial Bold" w:eastAsia="Arial Bold" w:hAnsi="Arial Bold"/>
          <w:b w:val="1"/>
          <w:color w:val="000000"/>
          <w:sz w:val="24"/>
          <w:szCs w:val="24"/>
          <w:rtl w:val="0"/>
        </w:rPr>
        <w:t xml:space="preserve">2</w:t>
      </w:r>
      <w:r w:rsidDel="00000000" w:rsidR="00000000" w:rsidRPr="00000000">
        <w:rPr>
          <w:rFonts w:ascii="Arial Bold" w:cs="Arial Bold" w:eastAsia="Arial Bold" w:hAnsi="Arial Bold"/>
          <w:b w:val="1"/>
          <w:smallCaps w:val="1"/>
          <w:color w:val="000000"/>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Credit Ratings and Credit Rating Thresholds</w:t>
      </w:r>
      <w:r w:rsidDel="00000000" w:rsidR="00000000" w:rsidRPr="00000000">
        <w:rPr>
          <w:rtl w:val="0"/>
        </w:rPr>
      </w:r>
    </w:p>
    <w:tbl>
      <w:tblPr>
        <w:tblStyle w:val="Table3"/>
        <w:tblW w:w="6945.0" w:type="dxa"/>
        <w:jc w:val="left"/>
        <w:tblInd w:w="-115.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75"/>
        <w:gridCol w:w="3870"/>
        <w:tblGridChange w:id="0">
          <w:tblGrid>
            <w:gridCol w:w="3075"/>
            <w:gridCol w:w="3870"/>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A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A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A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AA">
            <w:pPr>
              <w:keepNext w:val="1"/>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[D&amp;B Threshold - Minimum 55]</w:t>
            </w:r>
          </w:p>
        </w:tc>
      </w:tr>
      <w:tr>
        <w:trPr>
          <w:cantSplit w:val="0"/>
          <w:tblHeader w:val="0"/>
        </w:trPr>
        <w:tc>
          <w:tcPr>
            <w:shd w:fill="ffffff" w:val="clear"/>
          </w:tcPr>
          <w:p w:rsidR="00000000" w:rsidDel="00000000" w:rsidP="00000000" w:rsidRDefault="00000000" w:rsidRPr="00000000" w14:paraId="000000AB">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[Guarantor]</w:t>
            </w:r>
          </w:p>
        </w:tc>
        <w:tc>
          <w:tcPr>
            <w:shd w:fill="ffffff" w:val="clear"/>
          </w:tcPr>
          <w:p w:rsidR="00000000" w:rsidDel="00000000" w:rsidP="00000000" w:rsidRDefault="00000000" w:rsidRPr="00000000" w14:paraId="000000AC">
            <w:pPr>
              <w:keepNext w:val="1"/>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[D&amp;B Threshold - Minimum 55]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Subcontractor]</w:t>
            </w:r>
          </w:p>
        </w:tc>
        <w:tc>
          <w:tcPr>
            <w:shd w:fill="ffffff" w:val="clear"/>
          </w:tcPr>
          <w:p w:rsidR="00000000" w:rsidDel="00000000" w:rsidP="00000000" w:rsidRDefault="00000000" w:rsidRPr="00000000" w14:paraId="000000AE">
            <w:pPr>
              <w:keepNext w:val="1"/>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[D&amp;B Threshold - Minimum 55]</w:t>
            </w:r>
          </w:p>
        </w:tc>
      </w:tr>
    </w:tbl>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0">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w:t>
      </w:r>
      <w:r w:rsidDel="00000000" w:rsidR="00000000" w:rsidRPr="00000000">
        <w:rPr>
          <w:rFonts w:ascii="Arial" w:cs="Arial" w:eastAsia="Arial" w:hAnsi="Arial"/>
          <w:b w:val="1"/>
          <w:color w:val="000000"/>
          <w:sz w:val="24"/>
          <w:szCs w:val="24"/>
          <w:rtl w:val="0"/>
        </w:rPr>
        <w:t xml:space="preserve">3: Calculation methodology for Financial Indicators</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i w:val="1"/>
          <w:color w:val="000000"/>
          <w:sz w:val="24"/>
          <w:szCs w:val="24"/>
        </w:rPr>
      </w:pPr>
      <w:bookmarkStart w:colFirst="0" w:colLast="0" w:name="_heading=h.qsh70q" w:id="3"/>
      <w:bookmarkEnd w:id="3"/>
      <w:r w:rsidDel="00000000" w:rsidR="00000000" w:rsidRPr="00000000">
        <w:rPr>
          <w:rFonts w:ascii="Arial" w:cs="Arial" w:eastAsia="Arial" w:hAnsi="Arial"/>
          <w:b w:val="1"/>
          <w:i w:val="1"/>
          <w:color w:val="000000"/>
          <w:sz w:val="24"/>
          <w:szCs w:val="24"/>
          <w:rtl w:val="0"/>
        </w:rPr>
        <w:t xml:space="preserve">[Guidance: Amend this section as appropriate to reflect the calculation methodology for those Financial Indicators that are selected for inclusion in Paragraph 5.1 of this Schedule]</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B5">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B6">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heading=h.3as4poj" w:id="4"/>
      <w:bookmarkEnd w:id="4"/>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B7">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B8">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4"/>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rHeight w:val="780" w:hRule="atLeast"/>
          <w:tblHeader w:val="0"/>
        </w:trPr>
        <w:tc>
          <w:tcPr>
            <w:shd w:fill="d9d9d9" w:val="clear"/>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BC">
            <w:pPr>
              <w:spacing w:after="200"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w:t>
            </w:r>
          </w:p>
          <w:p w:rsidR="00000000" w:rsidDel="00000000" w:rsidP="00000000" w:rsidRDefault="00000000" w:rsidRPr="00000000" w14:paraId="000000BD">
            <w:pPr>
              <w:spacing w:after="200"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Turnover Ratio</w:t>
            </w:r>
          </w:p>
          <w:p w:rsidR="00000000" w:rsidDel="00000000" w:rsidP="00000000" w:rsidRDefault="00000000" w:rsidRPr="00000000" w14:paraId="000000BE">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BF">
            <w:pPr>
              <w:spacing w:after="240"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Revenue should be shown on the face of the Income Statement in a standard set of financial statements. It should exclude the entity’s share of the revenue of joint ventures or associates.</w:t>
            </w:r>
          </w:p>
        </w:tc>
      </w:tr>
      <w:tr>
        <w:trPr>
          <w:cantSplit w:val="0"/>
          <w:tblHeader w:val="0"/>
        </w:trPr>
        <w:tc>
          <w:tcPr>
            <w:vAlign w:val="center"/>
          </w:tcPr>
          <w:p w:rsidR="00000000" w:rsidDel="00000000" w:rsidP="00000000" w:rsidRDefault="00000000" w:rsidRPr="00000000" w14:paraId="000000C0">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p>
          <w:p w:rsidR="00000000" w:rsidDel="00000000" w:rsidP="00000000" w:rsidRDefault="00000000" w:rsidRPr="00000000" w14:paraId="000000C1">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Operating Margin</w:t>
            </w:r>
          </w:p>
        </w:tc>
        <w:tc>
          <w:tcPr/>
          <w:p w:rsidR="00000000" w:rsidDel="00000000" w:rsidP="00000000" w:rsidRDefault="00000000" w:rsidRPr="00000000" w14:paraId="000000C2">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3">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C4">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3</w:t>
            </w:r>
            <w:r w:rsidDel="00000000" w:rsidR="00000000" w:rsidRPr="00000000">
              <w:rPr>
                <w:rtl w:val="0"/>
              </w:rPr>
            </w:r>
          </w:p>
          <w:p w:rsidR="00000000" w:rsidDel="00000000" w:rsidP="00000000" w:rsidRDefault="00000000" w:rsidRPr="00000000" w14:paraId="000000C6">
            <w:pP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Net Debt to EBITDA Ratio</w:t>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bookmarkStart w:colFirst="0" w:colLast="0" w:name="_heading=h.1pxezwc" w:id="5"/>
            <w:bookmarkEnd w:id="5"/>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4</w:t>
            </w: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49x2ik5" w:id="6"/>
            <w:bookmarkEnd w:id="6"/>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5</w:t>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6</w:t>
            </w: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7</w:t>
            </w: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8</w:t>
            </w: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Group Exposure</w:t>
            </w:r>
            <w:r w:rsidDel="00000000" w:rsidR="00000000" w:rsidRPr="00000000">
              <w:rPr>
                <w:rFonts w:ascii="Arial" w:cs="Arial" w:eastAsia="Arial" w:hAnsi="Arial"/>
                <w:i w:val="1"/>
                <w:color w:val="000000"/>
                <w:sz w:val="24"/>
                <w:szCs w:val="24"/>
                <w:rtl w:val="0"/>
              </w:rPr>
              <w:t xml:space="preserve">” = Balances owed by Group Undertakings + Contingent liabilities assumed in support of Group Undertakings</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Gross Assets</w:t>
            </w:r>
            <w:r w:rsidDel="00000000" w:rsidR="00000000" w:rsidRPr="00000000">
              <w:rPr>
                <w:rFonts w:ascii="Arial" w:cs="Arial" w:eastAsia="Arial" w:hAnsi="Arial"/>
                <w:i w:val="1"/>
                <w:color w:val="000000"/>
                <w:sz w:val="24"/>
                <w:szCs w:val="24"/>
                <w:rtl w:val="0"/>
              </w:rPr>
              <w:t xml:space="preserve">” = Fixed Assets + Current Assets</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Group Exposure</w:t>
            </w:r>
            <w:r w:rsidDel="00000000" w:rsidR="00000000" w:rsidRPr="00000000">
              <w:rPr>
                <w:rFonts w:ascii="Arial" w:cs="Arial" w:eastAsia="Arial" w:hAnsi="Arial"/>
                <w:color w:val="000000"/>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Gross Assets</w:t>
            </w:r>
            <w:r w:rsidDel="00000000" w:rsidR="00000000" w:rsidRPr="00000000">
              <w:rPr>
                <w:rFonts w:ascii="Arial" w:cs="Arial" w:eastAsia="Arial" w:hAnsi="Arial"/>
                <w:color w:val="000000"/>
                <w:sz w:val="24"/>
                <w:szCs w:val="24"/>
                <w:rtl w:val="0"/>
              </w:rPr>
              <w:t xml:space="preserve">: Both Fixed assets and Current assets are shown on the face of the Balance Sheet]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111">
            <w:pPr>
              <w:spacing w:after="200" w:before="100" w:lineRule="auto"/>
              <w:jc w:val="left"/>
              <w:rPr>
                <w:rFonts w:ascii="Arial" w:cs="Arial" w:eastAsia="Arial" w:hAnsi="Arial"/>
                <w:b w:val="1"/>
                <w:sz w:val="24"/>
                <w:szCs w:val="24"/>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112">
            <w:pPr>
              <w:spacing w:after="240" w:before="240" w:lineRule="auto"/>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4">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300" w:before="100" w:lineRule="auto"/>
        <w:jc w:val="left"/>
        <w:rPr>
          <w:rFonts w:ascii="Arial Bold" w:cs="Arial Bold" w:eastAsia="Arial Bold" w:hAnsi="Arial Bold"/>
          <w:b w:val="1"/>
          <w:smallCaps w:val="1"/>
          <w:color w:val="000000"/>
          <w:sz w:val="24"/>
          <w:szCs w:val="24"/>
        </w:rPr>
      </w:pPr>
      <w:bookmarkStart w:colFirst="0" w:colLast="0" w:name="_heading=h.2p2csry" w:id="7"/>
      <w:bookmarkEnd w:id="7"/>
      <w:r w:rsidDel="00000000" w:rsidR="00000000" w:rsidRPr="00000000">
        <w:rPr>
          <w:rFonts w:ascii="Arial Bold" w:cs="Arial Bold" w:eastAsia="Arial Bold" w:hAnsi="Arial Bold"/>
          <w:b w:val="1"/>
          <w:smallCaps w:val="1"/>
          <w:color w:val="000000"/>
          <w:sz w:val="24"/>
          <w:szCs w:val="24"/>
          <w:rtl w:val="0"/>
        </w:rPr>
        <w:t xml:space="preserve">Annex 4: Board Confirmation</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heading=h.147n2zr" w:id="8"/>
      <w:bookmarkEnd w:id="8"/>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1C">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1D">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9">
      <w:pPr>
        <w:spacing w:after="200" w:line="276"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A">
      <w:pPr>
        <w:spacing w:after="200" w:line="276"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B">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2C">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2D">
      <w:pPr>
        <w:keepNext w:val="1"/>
        <w:numPr>
          <w:ilvl w:val="0"/>
          <w:numId w:val="4"/>
        </w:numPr>
        <w:tabs>
          <w:tab w:val="left" w:leader="none" w:pos="142"/>
        </w:tabs>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Definitions</w:t>
      </w:r>
    </w:p>
    <w:p w:rsidR="00000000" w:rsidDel="00000000" w:rsidP="00000000" w:rsidRDefault="00000000" w:rsidRPr="00000000" w14:paraId="0000012E">
      <w:pPr>
        <w:keepNext w:val="1"/>
        <w:numPr>
          <w:ilvl w:val="1"/>
          <w:numId w:val="4"/>
        </w:numPr>
        <w:tabs>
          <w:tab w:val="left" w:leader="none" w:pos="1134"/>
        </w:tabs>
        <w:spacing w:after="120" w:before="120" w:lineRule="auto"/>
        <w:ind w:left="644" w:hanging="360"/>
        <w:jc w:val="left"/>
      </w:pPr>
      <w:r w:rsidDel="00000000" w:rsidR="00000000" w:rsidRPr="00000000">
        <w:rPr>
          <w:rFonts w:ascii="Arial" w:cs="Arial" w:eastAsia="Arial" w:hAnsi="Arial"/>
          <w:sz w:val="24"/>
          <w:szCs w:val="24"/>
          <w:rtl w:val="0"/>
        </w:rPr>
        <w:t xml:space="preserve">In this Annex 5, the following words shall have the following meanings and they shall supplement Joint Schedule 1 (Definitions):</w:t>
      </w:r>
    </w:p>
    <w:tbl>
      <w:tblPr>
        <w:tblStyle w:val="Table5"/>
        <w:tblW w:w="7560.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2F">
            <w:pP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Threshold"</w:t>
            </w:r>
          </w:p>
        </w:tc>
        <w:tc>
          <w:tcPr/>
          <w:p w:rsidR="00000000" w:rsidDel="00000000" w:rsidP="00000000" w:rsidRDefault="00000000" w:rsidRPr="00000000" w14:paraId="00000130">
            <w:pPr>
              <w:numPr>
                <w:ilvl w:val="0"/>
                <w:numId w:val="1"/>
              </w:numPr>
              <w:tabs>
                <w:tab w:val="left" w:leader="none" w:pos="175"/>
              </w:tabs>
              <w:spacing w:after="120" w:lineRule="auto"/>
              <w:ind w:left="170"/>
              <w:jc w:val="left"/>
              <w:rPr>
                <w:sz w:val="24"/>
                <w:szCs w:val="24"/>
              </w:rPr>
            </w:pPr>
            <w:r w:rsidDel="00000000" w:rsidR="00000000" w:rsidRPr="00000000">
              <w:rPr>
                <w:rFonts w:ascii="Arial" w:cs="Arial" w:eastAsia="Arial" w:hAnsi="Arial"/>
                <w:sz w:val="24"/>
                <w:szCs w:val="24"/>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31">
            <w:pP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Distress Event"</w:t>
            </w:r>
          </w:p>
        </w:tc>
        <w:tc>
          <w:tcPr/>
          <w:p w:rsidR="00000000" w:rsidDel="00000000" w:rsidP="00000000" w:rsidRDefault="00000000" w:rsidRPr="00000000" w14:paraId="00000132">
            <w:pPr>
              <w:numPr>
                <w:ilvl w:val="0"/>
                <w:numId w:val="1"/>
              </w:numPr>
              <w:tabs>
                <w:tab w:val="left" w:leader="none" w:pos="175"/>
              </w:tabs>
              <w:spacing w:after="120" w:lineRule="auto"/>
              <w:ind w:left="170"/>
              <w:jc w:val="left"/>
              <w:rPr>
                <w:sz w:val="24"/>
                <w:szCs w:val="24"/>
              </w:rPr>
            </w:pPr>
            <w:r w:rsidDel="00000000" w:rsidR="00000000" w:rsidRPr="00000000">
              <w:rPr>
                <w:rFonts w:ascii="Arial" w:cs="Arial" w:eastAsia="Arial" w:hAnsi="Arial"/>
                <w:sz w:val="24"/>
                <w:szCs w:val="24"/>
                <w:rtl w:val="0"/>
              </w:rPr>
              <w:t xml:space="preserve">the occurrence or one or more of the following events:</w:t>
            </w:r>
          </w:p>
          <w:p w:rsidR="00000000" w:rsidDel="00000000" w:rsidP="00000000" w:rsidRDefault="00000000" w:rsidRPr="00000000" w14:paraId="00000133">
            <w:pPr>
              <w:numPr>
                <w:ilvl w:val="1"/>
                <w:numId w:val="1"/>
              </w:numPr>
              <w:tabs>
                <w:tab w:val="left" w:leader="none"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credit rating of the Monitored Company dropping below the applicable Credit Rating Threshold;</w:t>
            </w:r>
          </w:p>
          <w:p w:rsidR="00000000" w:rsidDel="00000000" w:rsidP="00000000" w:rsidRDefault="00000000" w:rsidRPr="00000000" w14:paraId="00000134">
            <w:pPr>
              <w:numPr>
                <w:ilvl w:val="1"/>
                <w:numId w:val="1"/>
              </w:numPr>
              <w:tabs>
                <w:tab w:val="left" w:leader="none"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35">
            <w:pPr>
              <w:numPr>
                <w:ilvl w:val="1"/>
                <w:numId w:val="1"/>
              </w:numPr>
              <w:tabs>
                <w:tab w:val="left" w:leader="none"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36">
            <w:pPr>
              <w:numPr>
                <w:ilvl w:val="1"/>
                <w:numId w:val="1"/>
              </w:numPr>
              <w:tabs>
                <w:tab w:val="left" w:leader="none"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Monitored Company committing a material breach of covenant to its lenders; </w:t>
            </w:r>
          </w:p>
          <w:p w:rsidR="00000000" w:rsidDel="00000000" w:rsidP="00000000" w:rsidRDefault="00000000" w:rsidRPr="00000000" w14:paraId="00000137">
            <w:pPr>
              <w:numPr>
                <w:ilvl w:val="1"/>
                <w:numId w:val="1"/>
              </w:numPr>
              <w:tabs>
                <w:tab w:val="left" w:leader="none"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38">
            <w:pPr>
              <w:numPr>
                <w:ilvl w:val="1"/>
                <w:numId w:val="1"/>
              </w:numPr>
              <w:tabs>
                <w:tab w:val="left" w:leader="none"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of the following:</w:t>
            </w:r>
          </w:p>
          <w:p w:rsidR="00000000" w:rsidDel="00000000" w:rsidP="00000000" w:rsidRDefault="00000000" w:rsidRPr="00000000" w14:paraId="00000139">
            <w:pPr>
              <w:numPr>
                <w:ilvl w:val="2"/>
                <w:numId w:val="1"/>
              </w:numPr>
              <w:tabs>
                <w:tab w:val="left" w:leader="none" w:pos="175"/>
              </w:tabs>
              <w:spacing w:after="120" w:lineRule="auto"/>
              <w:ind w:left="1080" w:hanging="360"/>
              <w:jc w:val="left"/>
              <w:rPr>
                <w:sz w:val="24"/>
                <w:szCs w:val="24"/>
              </w:rPr>
            </w:pPr>
            <w:r w:rsidDel="00000000" w:rsidR="00000000" w:rsidRPr="00000000">
              <w:rPr>
                <w:rFonts w:ascii="Arial" w:cs="Arial" w:eastAsia="Arial" w:hAnsi="Arial"/>
                <w:sz w:val="24"/>
                <w:szCs w:val="24"/>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3A">
            <w:pPr>
              <w:numPr>
                <w:ilvl w:val="2"/>
                <w:numId w:val="1"/>
              </w:numPr>
              <w:tabs>
                <w:tab w:val="left" w:leader="none" w:pos="175"/>
              </w:tabs>
              <w:spacing w:after="120" w:lineRule="auto"/>
              <w:ind w:left="1080" w:hanging="360"/>
              <w:jc w:val="left"/>
              <w:rPr>
                <w:sz w:val="24"/>
                <w:szCs w:val="24"/>
              </w:rPr>
            </w:pPr>
            <w:r w:rsidDel="00000000" w:rsidR="00000000" w:rsidRPr="00000000">
              <w:rPr>
                <w:rFonts w:ascii="Arial" w:cs="Arial" w:eastAsia="Arial" w:hAnsi="Arial"/>
                <w:sz w:val="24"/>
                <w:szCs w:val="24"/>
                <w:rtl w:val="0"/>
              </w:rPr>
              <w:t xml:space="preserve">non-payment by the Monitored Company of any financial indebtedness;</w:t>
            </w:r>
          </w:p>
          <w:p w:rsidR="00000000" w:rsidDel="00000000" w:rsidP="00000000" w:rsidRDefault="00000000" w:rsidRPr="00000000" w14:paraId="0000013B">
            <w:pPr>
              <w:numPr>
                <w:ilvl w:val="2"/>
                <w:numId w:val="1"/>
              </w:numPr>
              <w:tabs>
                <w:tab w:val="left" w:leader="none" w:pos="175"/>
              </w:tabs>
              <w:spacing w:after="120" w:lineRule="auto"/>
              <w:ind w:left="1080" w:hanging="360"/>
              <w:jc w:val="left"/>
              <w:rPr>
                <w:sz w:val="24"/>
                <w:szCs w:val="24"/>
              </w:rPr>
            </w:pPr>
            <w:r w:rsidDel="00000000" w:rsidR="00000000" w:rsidRPr="00000000">
              <w:rPr>
                <w:rFonts w:ascii="Arial" w:cs="Arial" w:eastAsia="Arial" w:hAnsi="Arial"/>
                <w:sz w:val="24"/>
                <w:szCs w:val="24"/>
                <w:rtl w:val="0"/>
              </w:rPr>
              <w:t xml:space="preserve">any financial indebtedness of the Monitored Company becoming due as a result of an event of default; or</w:t>
            </w:r>
          </w:p>
          <w:p w:rsidR="00000000" w:rsidDel="00000000" w:rsidP="00000000" w:rsidRDefault="00000000" w:rsidRPr="00000000" w14:paraId="0000013C">
            <w:pPr>
              <w:numPr>
                <w:ilvl w:val="2"/>
                <w:numId w:val="1"/>
              </w:numPr>
              <w:tabs>
                <w:tab w:val="left" w:leader="none" w:pos="175"/>
              </w:tabs>
              <w:spacing w:after="120" w:lineRule="auto"/>
              <w:ind w:left="1080" w:hanging="360"/>
              <w:jc w:val="left"/>
              <w:rPr>
                <w:sz w:val="24"/>
                <w:szCs w:val="24"/>
              </w:rPr>
            </w:pPr>
            <w:r w:rsidDel="00000000" w:rsidR="00000000" w:rsidRPr="00000000">
              <w:rPr>
                <w:rFonts w:ascii="Arial" w:cs="Arial" w:eastAsia="Arial" w:hAnsi="Arial"/>
                <w:sz w:val="24"/>
                <w:szCs w:val="24"/>
                <w:rtl w:val="0"/>
              </w:rPr>
              <w:t xml:space="preserve">the cancellation or suspension of any financial indebtedness in respect of the Monitored Company</w:t>
            </w:r>
          </w:p>
          <w:p w:rsidR="00000000" w:rsidDel="00000000" w:rsidP="00000000" w:rsidRDefault="00000000" w:rsidRPr="00000000" w14:paraId="0000013D">
            <w:pPr>
              <w:numPr>
                <w:ilvl w:val="0"/>
                <w:numId w:val="1"/>
              </w:numPr>
              <w:tabs>
                <w:tab w:val="left" w:leader="none" w:pos="175"/>
              </w:tabs>
              <w:spacing w:after="120" w:lineRule="auto"/>
              <w:ind w:left="170"/>
              <w:jc w:val="left"/>
              <w:rPr>
                <w:sz w:val="24"/>
                <w:szCs w:val="24"/>
              </w:rPr>
            </w:pPr>
            <w:r w:rsidDel="00000000" w:rsidR="00000000" w:rsidRPr="00000000">
              <w:rPr>
                <w:rFonts w:ascii="Arial" w:cs="Arial" w:eastAsia="Arial" w:hAnsi="Arial"/>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3E">
            <w:pP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Distress Service Continuity Plan"</w:t>
            </w:r>
          </w:p>
        </w:tc>
        <w:tc>
          <w:tcPr/>
          <w:p w:rsidR="00000000" w:rsidDel="00000000" w:rsidP="00000000" w:rsidRDefault="00000000" w:rsidRPr="00000000" w14:paraId="0000013F">
            <w:pPr>
              <w:numPr>
                <w:ilvl w:val="0"/>
                <w:numId w:val="1"/>
              </w:numPr>
              <w:tabs>
                <w:tab w:val="left" w:leader="none" w:pos="175"/>
              </w:tabs>
              <w:spacing w:after="120" w:lineRule="auto"/>
              <w:ind w:left="170"/>
              <w:jc w:val="left"/>
              <w:rPr>
                <w:sz w:val="24"/>
                <w:szCs w:val="24"/>
              </w:rPr>
            </w:pPr>
            <w:r w:rsidDel="00000000" w:rsidR="00000000" w:rsidRPr="00000000">
              <w:rPr>
                <w:rFonts w:ascii="Arial" w:cs="Arial" w:eastAsia="Arial" w:hAnsi="Arial"/>
                <w:sz w:val="24"/>
                <w:szCs w:val="24"/>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40">
            <w:pP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“Monitored Company”</w:t>
            </w:r>
          </w:p>
        </w:tc>
        <w:tc>
          <w:tcPr/>
          <w:p w:rsidR="00000000" w:rsidDel="00000000" w:rsidP="00000000" w:rsidRDefault="00000000" w:rsidRPr="00000000" w14:paraId="00000141">
            <w:pPr>
              <w:numPr>
                <w:ilvl w:val="0"/>
                <w:numId w:val="1"/>
              </w:numPr>
              <w:tabs>
                <w:tab w:val="left" w:leader="none" w:pos="175"/>
              </w:tabs>
              <w:spacing w:after="120" w:lineRule="auto"/>
              <w:ind w:left="170"/>
              <w:jc w:val="left"/>
              <w:rPr>
                <w:sz w:val="24"/>
                <w:szCs w:val="24"/>
              </w:rPr>
            </w:pPr>
            <w:r w:rsidDel="00000000" w:rsidR="00000000" w:rsidRPr="00000000">
              <w:rPr>
                <w:rFonts w:ascii="Arial" w:cs="Arial" w:eastAsia="Arial" w:hAnsi="Arial"/>
                <w:sz w:val="24"/>
                <w:szCs w:val="24"/>
                <w:rtl w:val="0"/>
              </w:rPr>
              <w:t xml:space="preserve">Supplier </w:t>
            </w:r>
            <w:r w:rsidDel="00000000" w:rsidR="00000000" w:rsidRPr="00000000">
              <w:rPr>
                <w:rFonts w:ascii="Arial" w:cs="Arial" w:eastAsia="Arial" w:hAnsi="Arial"/>
                <w:sz w:val="24"/>
                <w:szCs w:val="24"/>
                <w:highlight w:val="yellow"/>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42">
            <w:pP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"Rating Agencies"</w:t>
            </w:r>
          </w:p>
        </w:tc>
        <w:tc>
          <w:tcPr/>
          <w:p w:rsidR="00000000" w:rsidDel="00000000" w:rsidP="00000000" w:rsidRDefault="00000000" w:rsidRPr="00000000" w14:paraId="00000143">
            <w:pPr>
              <w:numPr>
                <w:ilvl w:val="0"/>
                <w:numId w:val="1"/>
              </w:numPr>
              <w:tabs>
                <w:tab w:val="left" w:leader="none" w:pos="175"/>
              </w:tabs>
              <w:spacing w:after="120" w:lineRule="auto"/>
              <w:ind w:left="170"/>
              <w:jc w:val="left"/>
              <w:rPr>
                <w:sz w:val="24"/>
                <w:szCs w:val="24"/>
              </w:rPr>
            </w:pPr>
            <w:r w:rsidDel="00000000" w:rsidR="00000000" w:rsidRPr="00000000">
              <w:rPr>
                <w:rFonts w:ascii="Arial" w:cs="Arial" w:eastAsia="Arial" w:hAnsi="Arial"/>
                <w:sz w:val="24"/>
                <w:szCs w:val="24"/>
                <w:rtl w:val="0"/>
              </w:rPr>
              <w:t xml:space="preserve">the rating agencies listed in Appendix 1.</w:t>
            </w:r>
          </w:p>
        </w:tc>
      </w:tr>
    </w:tbl>
    <w:p w:rsidR="00000000" w:rsidDel="00000000" w:rsidP="00000000" w:rsidRDefault="00000000" w:rsidRPr="00000000" w14:paraId="00000144">
      <w:pPr>
        <w:keepNext w:val="1"/>
        <w:numPr>
          <w:ilvl w:val="0"/>
          <w:numId w:val="4"/>
        </w:numPr>
        <w:tabs>
          <w:tab w:val="left" w:leader="none" w:pos="142"/>
        </w:tabs>
        <w:spacing w:before="120" w:lineRule="auto"/>
        <w:ind w:left="360"/>
        <w:jc w:val="left"/>
        <w:rPr>
          <w:smallCaps w:val="1"/>
        </w:rPr>
      </w:pPr>
      <w:bookmarkStart w:colFirst="0" w:colLast="0" w:name="_heading=h.3o7alnk" w:id="9"/>
      <w:bookmarkEnd w:id="9"/>
      <w:r w:rsidDel="00000000" w:rsidR="00000000" w:rsidRPr="00000000">
        <w:rPr>
          <w:rFonts w:ascii="Arial Bold" w:cs="Arial Bold" w:eastAsia="Arial Bold" w:hAnsi="Arial Bold"/>
          <w:b w:val="1"/>
          <w:sz w:val="24"/>
          <w:szCs w:val="24"/>
          <w:rtl w:val="0"/>
        </w:rPr>
        <w:t xml:space="preserve">When this Schedule applies</w:t>
      </w:r>
      <w:r w:rsidDel="00000000" w:rsidR="00000000" w:rsidRPr="00000000">
        <w:rPr>
          <w:rtl w:val="0"/>
        </w:rPr>
      </w:r>
    </w:p>
    <w:p w:rsidR="00000000" w:rsidDel="00000000" w:rsidP="00000000" w:rsidRDefault="00000000" w:rsidRPr="00000000" w14:paraId="00000145">
      <w:pPr>
        <w:numPr>
          <w:ilvl w:val="1"/>
          <w:numId w:val="4"/>
        </w:numPr>
        <w:tabs>
          <w:tab w:val="left" w:leader="none" w:pos="1134"/>
        </w:tabs>
        <w:spacing w:after="120" w:before="120" w:lineRule="auto"/>
        <w:ind w:left="644" w:hanging="360"/>
        <w:jc w:val="left"/>
      </w:pPr>
      <w:r w:rsidDel="00000000" w:rsidR="00000000" w:rsidRPr="00000000">
        <w:rPr>
          <w:rFonts w:ascii="Arial" w:cs="Arial" w:eastAsia="Arial" w:hAnsi="Arial"/>
          <w:sz w:val="24"/>
          <w:szCs w:val="24"/>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46">
      <w:pPr>
        <w:numPr>
          <w:ilvl w:val="1"/>
          <w:numId w:val="4"/>
        </w:numPr>
        <w:tabs>
          <w:tab w:val="left" w:leader="none" w:pos="1134"/>
        </w:tabs>
        <w:spacing w:after="120" w:before="120" w:lineRule="auto"/>
        <w:ind w:left="644" w:hanging="360"/>
        <w:jc w:val="left"/>
      </w:pPr>
      <w:r w:rsidDel="00000000" w:rsidR="00000000" w:rsidRPr="00000000">
        <w:rPr>
          <w:rFonts w:ascii="Arial" w:cs="Arial" w:eastAsia="Arial" w:hAnsi="Arial"/>
          <w:sz w:val="24"/>
          <w:szCs w:val="24"/>
          <w:rtl w:val="0"/>
        </w:rPr>
        <w:t xml:space="preserve">    The terms of this Annex 5 shall survive: </w:t>
      </w:r>
    </w:p>
    <w:p w:rsidR="00000000" w:rsidDel="00000000" w:rsidP="00000000" w:rsidRDefault="00000000" w:rsidRPr="00000000" w14:paraId="00000147">
      <w:pPr>
        <w:numPr>
          <w:ilvl w:val="2"/>
          <w:numId w:val="4"/>
        </w:numPr>
        <w:tabs>
          <w:tab w:val="left" w:leader="none" w:pos="1985"/>
        </w:tabs>
        <w:spacing w:after="120" w:before="120" w:lineRule="auto"/>
        <w:ind w:left="2422" w:hanging="720"/>
        <w:jc w:val="left"/>
      </w:pPr>
      <w:r w:rsidDel="00000000" w:rsidR="00000000" w:rsidRPr="00000000">
        <w:rPr>
          <w:rFonts w:ascii="Arial" w:cs="Arial" w:eastAsia="Arial" w:hAnsi="Arial"/>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48">
      <w:pPr>
        <w:numPr>
          <w:ilvl w:val="2"/>
          <w:numId w:val="4"/>
        </w:numPr>
        <w:tabs>
          <w:tab w:val="left" w:leader="none" w:pos="1985"/>
        </w:tabs>
        <w:spacing w:after="120" w:before="120" w:lineRule="auto"/>
        <w:ind w:left="2422" w:hanging="720"/>
        <w:jc w:val="left"/>
      </w:pPr>
      <w:r w:rsidDel="00000000" w:rsidR="00000000" w:rsidRPr="00000000">
        <w:rPr>
          <w:rFonts w:ascii="Arial" w:cs="Arial" w:eastAsia="Arial" w:hAnsi="Arial"/>
          <w:sz w:val="24"/>
          <w:szCs w:val="24"/>
          <w:rtl w:val="0"/>
        </w:rPr>
        <w:t xml:space="preserve">under the Call-Off Contract until the termination or expiry of the Call-Off Contract.</w:t>
      </w:r>
    </w:p>
    <w:p w:rsidR="00000000" w:rsidDel="00000000" w:rsidP="00000000" w:rsidRDefault="00000000" w:rsidRPr="00000000" w14:paraId="00000149">
      <w:pPr>
        <w:keepNext w:val="1"/>
        <w:numPr>
          <w:ilvl w:val="0"/>
          <w:numId w:val="4"/>
        </w:numPr>
        <w:tabs>
          <w:tab w:val="left" w:leader="none" w:pos="142"/>
        </w:tabs>
        <w:spacing w:before="120" w:lineRule="auto"/>
        <w:ind w:left="360"/>
        <w:jc w:val="left"/>
        <w:rPr>
          <w:smallCaps w:val="1"/>
        </w:rPr>
      </w:pPr>
      <w:r w:rsidDel="00000000" w:rsidR="00000000" w:rsidRPr="00000000">
        <w:rPr>
          <w:rFonts w:ascii="Arial" w:cs="Arial" w:eastAsia="Arial" w:hAnsi="Arial"/>
          <w:b w:val="1"/>
          <w:smallCaps w:val="1"/>
          <w:sz w:val="24"/>
          <w:szCs w:val="24"/>
          <w:rtl w:val="0"/>
        </w:rPr>
        <w:t xml:space="preserve">W</w:t>
      </w:r>
      <w:r w:rsidDel="00000000" w:rsidR="00000000" w:rsidRPr="00000000">
        <w:rPr>
          <w:rFonts w:ascii="Arial Bold" w:cs="Arial Bold" w:eastAsia="Arial Bold" w:hAnsi="Arial Bold"/>
          <w:b w:val="1"/>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14A">
      <w:pPr>
        <w:numPr>
          <w:ilvl w:val="1"/>
          <w:numId w:val="4"/>
        </w:numPr>
        <w:tabs>
          <w:tab w:val="left" w:leader="none" w:pos="1134"/>
        </w:tabs>
        <w:spacing w:after="120" w:before="120" w:lineRule="auto"/>
        <w:ind w:left="644" w:hanging="360"/>
        <w:jc w:val="left"/>
      </w:pPr>
      <w:bookmarkStart w:colFirst="0" w:colLast="0" w:name="_heading=h.23ckvvd" w:id="10"/>
      <w:bookmarkEnd w:id="10"/>
      <w:r w:rsidDel="00000000" w:rsidR="00000000" w:rsidRPr="00000000">
        <w:rPr>
          <w:rFonts w:ascii="Arial" w:cs="Arial" w:eastAsia="Arial" w:hAnsi="Arial"/>
          <w:sz w:val="24"/>
          <w:szCs w:val="24"/>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4B">
      <w:pPr>
        <w:numPr>
          <w:ilvl w:val="1"/>
          <w:numId w:val="4"/>
        </w:numPr>
        <w:tabs>
          <w:tab w:val="left" w:leader="none" w:pos="1134"/>
        </w:tabs>
        <w:spacing w:after="120" w:before="120" w:lineRule="auto"/>
        <w:ind w:left="644" w:hanging="360"/>
        <w:jc w:val="left"/>
      </w:pPr>
      <w:r w:rsidDel="00000000" w:rsidR="00000000" w:rsidRPr="00000000">
        <w:rPr>
          <w:rFonts w:ascii="Arial" w:cs="Arial" w:eastAsia="Arial" w:hAnsi="Arial"/>
          <w:sz w:val="24"/>
          <w:szCs w:val="24"/>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4C">
      <w:pPr>
        <w:numPr>
          <w:ilvl w:val="1"/>
          <w:numId w:val="4"/>
        </w:numPr>
        <w:tabs>
          <w:tab w:val="left" w:leader="none" w:pos="1134"/>
        </w:tabs>
        <w:spacing w:after="120" w:before="120" w:lineRule="auto"/>
        <w:ind w:left="644" w:hanging="360"/>
        <w:jc w:val="left"/>
      </w:pPr>
      <w:r w:rsidDel="00000000" w:rsidR="00000000" w:rsidRPr="00000000">
        <w:rPr>
          <w:rFonts w:ascii="Arial" w:cs="Arial" w:eastAsia="Arial" w:hAnsi="Arial"/>
          <w:sz w:val="24"/>
          <w:szCs w:val="24"/>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current ratio for the Monitored Company as at the end of each Contract Year or such other date as may be requested by the Relevant Authority.  For these purposes the "current ratio" on any date means:</w:t>
      </w:r>
    </w:p>
    <w:p w:rsidR="00000000" w:rsidDel="00000000" w:rsidP="00000000" w:rsidRDefault="00000000" w:rsidRPr="00000000" w14:paraId="0000014D">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9"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8"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4E">
      <w:pPr>
        <w:tabs>
          <w:tab w:val="left" w:leader="none" w:pos="3402"/>
        </w:tabs>
        <w:spacing w:after="22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w:t>
      </w:r>
    </w:p>
    <w:tbl>
      <w:tblPr>
        <w:tblStyle w:val="Table6"/>
        <w:tblW w:w="8317.0" w:type="dxa"/>
        <w:jc w:val="left"/>
        <w:tblInd w:w="59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14F">
            <w:pPr>
              <w:tabs>
                <w:tab w:val="left" w:leader="none" w:pos="3402"/>
              </w:tabs>
              <w:spacing w:after="220" w:lineRule="auto"/>
              <w:ind w:left="1134"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r>
          </w:p>
        </w:tc>
        <w:tc>
          <w:tcPr/>
          <w:p w:rsidR="00000000" w:rsidDel="00000000" w:rsidP="00000000" w:rsidRDefault="00000000" w:rsidRPr="00000000" w14:paraId="00000150">
            <w:pPr>
              <w:tabs>
                <w:tab w:val="left" w:leader="none" w:pos="3402"/>
              </w:tabs>
              <w:spacing w:after="220" w:lineRule="auto"/>
              <w:ind w:left="1134" w:firstLine="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51">
            <w:pPr>
              <w:tabs>
                <w:tab w:val="left" w:leader="none" w:pos="3402"/>
              </w:tabs>
              <w:spacing w:after="220" w:lineRule="auto"/>
              <w:ind w:left="1134"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r>
          </w:p>
        </w:tc>
        <w:tc>
          <w:tcPr/>
          <w:p w:rsidR="00000000" w:rsidDel="00000000" w:rsidP="00000000" w:rsidRDefault="00000000" w:rsidRPr="00000000" w14:paraId="00000152">
            <w:pPr>
              <w:tabs>
                <w:tab w:val="left" w:leader="none" w:pos="3402"/>
              </w:tabs>
              <w:spacing w:after="220" w:lineRule="auto"/>
              <w:ind w:left="1134"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53">
            <w:pPr>
              <w:tabs>
                <w:tab w:val="left" w:leader="none" w:pos="3402"/>
              </w:tabs>
              <w:spacing w:after="220" w:lineRule="auto"/>
              <w:ind w:left="1134"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w:t>
            </w:r>
          </w:p>
        </w:tc>
        <w:tc>
          <w:tcPr/>
          <w:p w:rsidR="00000000" w:rsidDel="00000000" w:rsidP="00000000" w:rsidRDefault="00000000" w:rsidRPr="00000000" w14:paraId="00000154">
            <w:pPr>
              <w:tabs>
                <w:tab w:val="left" w:leader="none" w:pos="3402"/>
              </w:tabs>
              <w:spacing w:after="220" w:lineRule="auto"/>
              <w:ind w:left="1134"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55">
            <w:pPr>
              <w:tabs>
                <w:tab w:val="left" w:leader="none" w:pos="3402"/>
              </w:tabs>
              <w:spacing w:after="220" w:lineRule="auto"/>
              <w:ind w:left="1134"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p>
        </w:tc>
        <w:tc>
          <w:tcPr/>
          <w:p w:rsidR="00000000" w:rsidDel="00000000" w:rsidP="00000000" w:rsidRDefault="00000000" w:rsidRPr="00000000" w14:paraId="00000156">
            <w:pPr>
              <w:tabs>
                <w:tab w:val="left" w:leader="none" w:pos="3402"/>
              </w:tabs>
              <w:spacing w:after="220" w:lineRule="auto"/>
              <w:ind w:left="1134"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the current liabilities of the Monitored Company].</w:t>
            </w:r>
          </w:p>
        </w:tc>
      </w:tr>
    </w:tbl>
    <w:p w:rsidR="00000000" w:rsidDel="00000000" w:rsidP="00000000" w:rsidRDefault="00000000" w:rsidRPr="00000000" w14:paraId="00000157">
      <w:pPr>
        <w:keepNext w:val="1"/>
        <w:numPr>
          <w:ilvl w:val="1"/>
          <w:numId w:val="4"/>
        </w:numPr>
        <w:tabs>
          <w:tab w:val="left" w:leader="none" w:pos="1134"/>
        </w:tabs>
        <w:spacing w:after="120" w:before="120" w:lineRule="auto"/>
        <w:ind w:left="644" w:hanging="360"/>
        <w:jc w:val="left"/>
      </w:pPr>
      <w:bookmarkStart w:colFirst="0" w:colLast="0" w:name="_heading=h.ihv636" w:id="11"/>
      <w:bookmarkEnd w:id="11"/>
      <w:r w:rsidDel="00000000" w:rsidR="00000000" w:rsidRPr="00000000">
        <w:rPr>
          <w:rFonts w:ascii="Arial" w:cs="Arial" w:eastAsia="Arial" w:hAnsi="Arial"/>
          <w:sz w:val="24"/>
          <w:szCs w:val="24"/>
          <w:rtl w:val="0"/>
        </w:rPr>
        <w:t xml:space="preserve">The Supplier shall: </w:t>
      </w:r>
    </w:p>
    <w:p w:rsidR="00000000" w:rsidDel="00000000" w:rsidP="00000000" w:rsidRDefault="00000000" w:rsidRPr="00000000" w14:paraId="00000158">
      <w:pPr>
        <w:numPr>
          <w:ilvl w:val="2"/>
          <w:numId w:val="4"/>
        </w:numPr>
        <w:tabs>
          <w:tab w:val="left" w:leader="none" w:pos="1985"/>
        </w:tabs>
        <w:spacing w:after="120" w:before="120" w:lineRule="auto"/>
        <w:ind w:left="2422" w:hanging="720"/>
        <w:jc w:val="left"/>
      </w:pPr>
      <w:r w:rsidDel="00000000" w:rsidR="00000000" w:rsidRPr="00000000">
        <w:rPr>
          <w:rFonts w:ascii="Arial" w:cs="Arial" w:eastAsia="Arial" w:hAnsi="Arial"/>
          <w:sz w:val="24"/>
          <w:szCs w:val="24"/>
          <w:rtl w:val="0"/>
        </w:rPr>
        <w:t xml:space="preserve">regularly monitor the credit ratings of each Monitored Company with the Rating Agencies; and </w:t>
      </w:r>
    </w:p>
    <w:p w:rsidR="00000000" w:rsidDel="00000000" w:rsidP="00000000" w:rsidRDefault="00000000" w:rsidRPr="00000000" w14:paraId="00000159">
      <w:pPr>
        <w:numPr>
          <w:ilvl w:val="2"/>
          <w:numId w:val="4"/>
        </w:numPr>
        <w:tabs>
          <w:tab w:val="left" w:leader="none" w:pos="1985"/>
        </w:tabs>
        <w:spacing w:after="120" w:before="120" w:lineRule="auto"/>
        <w:ind w:left="2422" w:hanging="720"/>
        <w:jc w:val="left"/>
      </w:pPr>
      <w:bookmarkStart w:colFirst="0" w:colLast="0" w:name="_heading=h.32hioqz" w:id="12"/>
      <w:bookmarkEnd w:id="12"/>
      <w:r w:rsidDel="00000000" w:rsidR="00000000" w:rsidRPr="00000000">
        <w:rPr>
          <w:rFonts w:ascii="Arial" w:cs="Arial" w:eastAsia="Arial" w:hAnsi="Arial"/>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5A">
      <w:pPr>
        <w:numPr>
          <w:ilvl w:val="1"/>
          <w:numId w:val="4"/>
        </w:numPr>
        <w:tabs>
          <w:tab w:val="left" w:leader="none" w:pos="1134"/>
        </w:tabs>
        <w:spacing w:after="120" w:before="120" w:lineRule="auto"/>
        <w:ind w:left="644" w:hanging="360"/>
        <w:jc w:val="left"/>
      </w:pPr>
      <w:r w:rsidDel="00000000" w:rsidR="00000000" w:rsidRPr="00000000">
        <w:rPr>
          <w:rFonts w:ascii="Arial" w:cs="Arial" w:eastAsia="Arial" w:hAnsi="Arial"/>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5B">
      <w:pPr>
        <w:keepNext w:val="1"/>
        <w:numPr>
          <w:ilvl w:val="0"/>
          <w:numId w:val="4"/>
        </w:numPr>
        <w:tabs>
          <w:tab w:val="left" w:leader="none" w:pos="142"/>
        </w:tabs>
        <w:spacing w:before="120" w:lineRule="auto"/>
        <w:ind w:left="360"/>
        <w:jc w:val="left"/>
        <w:rPr>
          <w:smallCaps w:val="1"/>
        </w:rPr>
      </w:pPr>
      <w:r w:rsidDel="00000000" w:rsidR="00000000" w:rsidRPr="00000000">
        <w:rPr>
          <w:rFonts w:ascii="Arial Bold" w:cs="Arial Bold" w:eastAsia="Arial Bold" w:hAnsi="Arial Bold"/>
          <w:b w:val="1"/>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15C">
      <w:pPr>
        <w:numPr>
          <w:ilvl w:val="1"/>
          <w:numId w:val="4"/>
        </w:numPr>
        <w:tabs>
          <w:tab w:val="left" w:leader="none" w:pos="1134"/>
        </w:tabs>
        <w:spacing w:after="120" w:before="120" w:lineRule="auto"/>
        <w:ind w:left="644" w:hanging="360"/>
        <w:jc w:val="left"/>
      </w:pPr>
      <w:bookmarkStart w:colFirst="0" w:colLast="0" w:name="_heading=h.1hmsyys" w:id="13"/>
      <w:bookmarkEnd w:id="13"/>
      <w:r w:rsidDel="00000000" w:rsidR="00000000" w:rsidRPr="00000000">
        <w:rPr>
          <w:rFonts w:ascii="Arial" w:cs="Arial" w:eastAsia="Arial" w:hAnsi="Arial"/>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5D">
      <w:pPr>
        <w:tabs>
          <w:tab w:val="left" w:leader="none" w:pos="1134"/>
        </w:tabs>
        <w:spacing w:after="120" w:before="120" w:lineRule="auto"/>
        <w:ind w:left="936" w:hanging="1004"/>
        <w:jc w:val="left"/>
        <w:rPr>
          <w:rFonts w:ascii="Arial" w:cs="Arial" w:eastAsia="Arial" w:hAnsi="Arial"/>
          <w:sz w:val="24"/>
          <w:szCs w:val="24"/>
        </w:rPr>
      </w:pPr>
      <w:bookmarkStart w:colFirst="0" w:colLast="0" w:name="_heading=h.41mghml" w:id="15"/>
      <w:bookmarkEnd w:id="15"/>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delete this clause if there are no Key Subcontractors or the Key Subcontractors are not</w:t>
      </w:r>
      <w:bookmarkStart w:colFirst="0" w:colLast="0" w:name="bookmark=kix.cghlyv8lavt1" w:id="14"/>
      <w:bookmarkEnd w:id="14"/>
      <w:r w:rsidDel="00000000" w:rsidR="00000000" w:rsidRPr="00000000">
        <w:rPr>
          <w:rFonts w:ascii="Arial" w:cs="Arial" w:eastAsia="Arial" w:hAnsi="Arial"/>
          <w:sz w:val="24"/>
          <w:szCs w:val="24"/>
          <w:rtl w:val="0"/>
        </w:rPr>
        <w:t xml:space="preserve"> Monitored Company]</w:t>
      </w:r>
    </w:p>
    <w:p w:rsidR="00000000" w:rsidDel="00000000" w:rsidP="00000000" w:rsidRDefault="00000000" w:rsidRPr="00000000" w14:paraId="0000015E">
      <w:pPr>
        <w:numPr>
          <w:ilvl w:val="1"/>
          <w:numId w:val="4"/>
        </w:numPr>
        <w:tabs>
          <w:tab w:val="left" w:leader="none" w:pos="1134"/>
        </w:tabs>
        <w:spacing w:after="120" w:before="120" w:lineRule="auto"/>
        <w:ind w:left="644" w:hanging="360"/>
        <w:jc w:val="left"/>
      </w:pPr>
      <w:r w:rsidDel="00000000" w:rsidR="00000000" w:rsidRPr="00000000">
        <w:rPr>
          <w:rFonts w:ascii="Arial" w:cs="Arial" w:eastAsia="Arial" w:hAnsi="Arial"/>
          <w:sz w:val="24"/>
          <w:szCs w:val="24"/>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5F">
      <w:pPr>
        <w:numPr>
          <w:ilvl w:val="2"/>
          <w:numId w:val="4"/>
        </w:numPr>
        <w:tabs>
          <w:tab w:val="left" w:leader="none" w:pos="1985"/>
        </w:tabs>
        <w:spacing w:after="120" w:before="120" w:lineRule="auto"/>
        <w:ind w:left="2422" w:hanging="720"/>
        <w:jc w:val="left"/>
      </w:pPr>
      <w:r w:rsidDel="00000000" w:rsidR="00000000" w:rsidRPr="00000000">
        <w:rPr>
          <w:rFonts w:ascii="Arial" w:cs="Arial" w:eastAsia="Arial" w:hAnsi="Arial"/>
          <w:sz w:val="24"/>
          <w:szCs w:val="24"/>
          <w:rtl w:val="0"/>
        </w:rPr>
        <w:t xml:space="preserve">rectify such late or non-payment; or </w:t>
      </w:r>
    </w:p>
    <w:p w:rsidR="00000000" w:rsidDel="00000000" w:rsidP="00000000" w:rsidRDefault="00000000" w:rsidRPr="00000000" w14:paraId="00000160">
      <w:pPr>
        <w:numPr>
          <w:ilvl w:val="2"/>
          <w:numId w:val="4"/>
        </w:numPr>
        <w:tabs>
          <w:tab w:val="left" w:leader="none" w:pos="1985"/>
        </w:tabs>
        <w:spacing w:after="120" w:before="120" w:lineRule="auto"/>
        <w:ind w:left="2422" w:hanging="720"/>
        <w:jc w:val="left"/>
      </w:pPr>
      <w:r w:rsidDel="00000000" w:rsidR="00000000" w:rsidRPr="00000000">
        <w:rPr>
          <w:rFonts w:ascii="Arial" w:cs="Arial" w:eastAsia="Arial" w:hAnsi="Arial"/>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161">
      <w:pPr>
        <w:keepNext w:val="1"/>
        <w:numPr>
          <w:ilvl w:val="1"/>
          <w:numId w:val="4"/>
        </w:numPr>
        <w:tabs>
          <w:tab w:val="left" w:leader="none" w:pos="1134"/>
        </w:tabs>
        <w:spacing w:after="120" w:before="120" w:lineRule="auto"/>
        <w:ind w:left="644" w:hanging="360"/>
        <w:jc w:val="left"/>
      </w:pPr>
      <w:bookmarkStart w:colFirst="0" w:colLast="0" w:name="_heading=h.vx1227" w:id="16"/>
      <w:bookmarkEnd w:id="16"/>
      <w:r w:rsidDel="00000000" w:rsidR="00000000" w:rsidRPr="00000000">
        <w:rPr>
          <w:rFonts w:ascii="Arial" w:cs="Arial" w:eastAsia="Arial" w:hAnsi="Arial"/>
          <w:sz w:val="24"/>
          <w:szCs w:val="24"/>
          <w:rtl w:val="0"/>
        </w:rPr>
        <w:t xml:space="preserve">The Supplier shall and shall procure that the other Monitored Companies shall:</w:t>
      </w:r>
    </w:p>
    <w:p w:rsidR="00000000" w:rsidDel="00000000" w:rsidP="00000000" w:rsidRDefault="00000000" w:rsidRPr="00000000" w14:paraId="00000162">
      <w:pPr>
        <w:numPr>
          <w:ilvl w:val="2"/>
          <w:numId w:val="4"/>
        </w:numPr>
        <w:tabs>
          <w:tab w:val="left" w:leader="none" w:pos="1985"/>
        </w:tabs>
        <w:spacing w:after="120" w:before="120" w:lineRule="auto"/>
        <w:ind w:left="2422" w:hanging="720"/>
        <w:jc w:val="left"/>
      </w:pPr>
      <w:bookmarkStart w:colFirst="0" w:colLast="0" w:name="_heading=h.3fwokq0" w:id="17"/>
      <w:bookmarkEnd w:id="17"/>
      <w:r w:rsidDel="00000000" w:rsidR="00000000" w:rsidRPr="00000000">
        <w:rPr>
          <w:rFonts w:ascii="Arial" w:cs="Arial" w:eastAsia="Arial" w:hAnsi="Arial"/>
          <w:sz w:val="24"/>
          <w:szCs w:val="24"/>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63">
      <w:pPr>
        <w:numPr>
          <w:ilvl w:val="2"/>
          <w:numId w:val="4"/>
        </w:numPr>
        <w:tabs>
          <w:tab w:val="left" w:leader="none" w:pos="1985"/>
        </w:tabs>
        <w:spacing w:after="120" w:before="120" w:lineRule="auto"/>
        <w:ind w:left="2422" w:hanging="720"/>
        <w:jc w:val="left"/>
      </w:pPr>
      <w:bookmarkStart w:colFirst="0" w:colLast="0" w:name="_heading=h.1v1yuxt" w:id="18"/>
      <w:bookmarkEnd w:id="18"/>
      <w:r w:rsidDel="00000000" w:rsidR="00000000" w:rsidRPr="00000000">
        <w:rPr>
          <w:rFonts w:ascii="Arial" w:cs="Arial" w:eastAsia="Arial" w:hAnsi="Arial"/>
          <w:sz w:val="24"/>
          <w:szCs w:val="24"/>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64">
      <w:pPr>
        <w:numPr>
          <w:ilvl w:val="3"/>
          <w:numId w:val="4"/>
        </w:numPr>
        <w:tabs>
          <w:tab w:val="left" w:leader="none" w:pos="1985"/>
        </w:tabs>
        <w:spacing w:after="120" w:before="120" w:lineRule="auto"/>
        <w:ind w:left="2847" w:hanging="720"/>
        <w:jc w:val="left"/>
      </w:pPr>
      <w:r w:rsidDel="00000000" w:rsidR="00000000" w:rsidRPr="00000000">
        <w:rPr>
          <w:rFonts w:ascii="Arial" w:cs="Arial" w:eastAsia="Arial" w:hAnsi="Arial"/>
          <w:sz w:val="24"/>
          <w:szCs w:val="24"/>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65">
      <w:pPr>
        <w:numPr>
          <w:ilvl w:val="3"/>
          <w:numId w:val="4"/>
        </w:numPr>
        <w:tabs>
          <w:tab w:val="left" w:leader="none" w:pos="1985"/>
        </w:tabs>
        <w:spacing w:after="120" w:before="120" w:lineRule="auto"/>
        <w:ind w:left="2847" w:hanging="720"/>
        <w:jc w:val="left"/>
      </w:pPr>
      <w:bookmarkStart w:colFirst="0" w:colLast="0" w:name="_heading=h.4f1mdlm" w:id="19"/>
      <w:bookmarkEnd w:id="19"/>
      <w:r w:rsidDel="00000000" w:rsidR="00000000" w:rsidRPr="00000000">
        <w:rPr>
          <w:rFonts w:ascii="Arial" w:cs="Arial" w:eastAsia="Arial" w:hAnsi="Arial"/>
          <w:sz w:val="24"/>
          <w:szCs w:val="24"/>
          <w:rtl w:val="0"/>
        </w:rPr>
        <w:t xml:space="preserve">provide such financial information relating to the Monitored Company as the Relevant Authority may reasonably require.</w:t>
      </w:r>
    </w:p>
    <w:p w:rsidR="00000000" w:rsidDel="00000000" w:rsidP="00000000" w:rsidRDefault="00000000" w:rsidRPr="00000000" w14:paraId="00000166">
      <w:pPr>
        <w:numPr>
          <w:ilvl w:val="1"/>
          <w:numId w:val="4"/>
        </w:numPr>
        <w:tabs>
          <w:tab w:val="left" w:leader="none" w:pos="1134"/>
        </w:tabs>
        <w:spacing w:after="120" w:before="120" w:lineRule="auto"/>
        <w:ind w:left="644" w:hanging="360"/>
        <w:jc w:val="left"/>
      </w:pPr>
      <w:bookmarkStart w:colFirst="0" w:colLast="0" w:name="_heading=h.2u6wntf" w:id="20"/>
      <w:bookmarkEnd w:id="20"/>
      <w:r w:rsidDel="00000000" w:rsidR="00000000" w:rsidRPr="00000000">
        <w:rPr>
          <w:rFonts w:ascii="Arial" w:cs="Arial" w:eastAsia="Arial" w:hAnsi="Arial"/>
          <w:sz w:val="24"/>
          <w:szCs w:val="24"/>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67">
      <w:pPr>
        <w:numPr>
          <w:ilvl w:val="1"/>
          <w:numId w:val="4"/>
        </w:numPr>
        <w:tabs>
          <w:tab w:val="left" w:leader="none" w:pos="1134"/>
        </w:tabs>
        <w:spacing w:after="120" w:before="120" w:lineRule="auto"/>
        <w:ind w:left="644" w:hanging="360"/>
        <w:jc w:val="left"/>
      </w:pPr>
      <w:bookmarkStart w:colFirst="0" w:colLast="0" w:name="_heading=h.19c6y18" w:id="21"/>
      <w:bookmarkEnd w:id="21"/>
      <w:r w:rsidDel="00000000" w:rsidR="00000000" w:rsidRPr="00000000">
        <w:rPr>
          <w:rFonts w:ascii="Arial" w:cs="Arial" w:eastAsia="Arial" w:hAnsi="Arial"/>
          <w:sz w:val="24"/>
          <w:szCs w:val="24"/>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68">
      <w:pPr>
        <w:keepNext w:val="1"/>
        <w:numPr>
          <w:ilvl w:val="1"/>
          <w:numId w:val="4"/>
        </w:numPr>
        <w:tabs>
          <w:tab w:val="left" w:leader="none" w:pos="1134"/>
        </w:tabs>
        <w:spacing w:after="120" w:before="120" w:lineRule="auto"/>
        <w:ind w:left="644" w:hanging="360"/>
        <w:jc w:val="left"/>
      </w:pPr>
      <w:bookmarkStart w:colFirst="0" w:colLast="0" w:name="_heading=h.3tbugp1" w:id="22"/>
      <w:bookmarkEnd w:id="22"/>
      <w:r w:rsidDel="00000000" w:rsidR="00000000" w:rsidRPr="00000000">
        <w:rPr>
          <w:rFonts w:ascii="Arial" w:cs="Arial" w:eastAsia="Arial" w:hAnsi="Arial"/>
          <w:sz w:val="24"/>
          <w:szCs w:val="24"/>
          <w:rtl w:val="0"/>
        </w:rPr>
        <w:t xml:space="preserve">Following Approval of the Financial Distress Service Continuity Plan by the Relevant Authority, the Supplier shall:</w:t>
      </w:r>
    </w:p>
    <w:p w:rsidR="00000000" w:rsidDel="00000000" w:rsidP="00000000" w:rsidRDefault="00000000" w:rsidRPr="00000000" w14:paraId="00000169">
      <w:pPr>
        <w:numPr>
          <w:ilvl w:val="2"/>
          <w:numId w:val="4"/>
        </w:numPr>
        <w:tabs>
          <w:tab w:val="left" w:leader="none" w:pos="1985"/>
        </w:tabs>
        <w:spacing w:after="120" w:before="120" w:lineRule="auto"/>
        <w:ind w:left="2422" w:hanging="720"/>
        <w:jc w:val="left"/>
      </w:pPr>
      <w:bookmarkStart w:colFirst="0" w:colLast="0" w:name="_heading=h.28h4qwu" w:id="23"/>
      <w:bookmarkEnd w:id="23"/>
      <w:r w:rsidDel="00000000" w:rsidR="00000000" w:rsidRPr="00000000">
        <w:rPr>
          <w:rFonts w:ascii="Arial" w:cs="Arial" w:eastAsia="Arial" w:hAnsi="Arial"/>
          <w:sz w:val="24"/>
          <w:szCs w:val="24"/>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6A">
      <w:pPr>
        <w:numPr>
          <w:ilvl w:val="2"/>
          <w:numId w:val="4"/>
        </w:numPr>
        <w:tabs>
          <w:tab w:val="left" w:leader="none" w:pos="1985"/>
        </w:tabs>
        <w:spacing w:after="120" w:before="120" w:lineRule="auto"/>
        <w:ind w:left="2422" w:hanging="720"/>
        <w:jc w:val="left"/>
      </w:pPr>
      <w:bookmarkStart w:colFirst="0" w:colLast="0" w:name="_heading=h.nmf14n" w:id="24"/>
      <w:bookmarkEnd w:id="24"/>
      <w:r w:rsidDel="00000000" w:rsidR="00000000" w:rsidRPr="00000000">
        <w:rPr>
          <w:rFonts w:ascii="Arial" w:cs="Arial" w:eastAsia="Arial" w:hAnsi="Arial"/>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6B">
      <w:pPr>
        <w:numPr>
          <w:ilvl w:val="2"/>
          <w:numId w:val="4"/>
        </w:numPr>
        <w:tabs>
          <w:tab w:val="left" w:leader="none" w:pos="1985"/>
        </w:tabs>
        <w:spacing w:after="120" w:before="120" w:lineRule="auto"/>
        <w:ind w:left="2422" w:hanging="720"/>
        <w:jc w:val="left"/>
      </w:pPr>
      <w:bookmarkStart w:colFirst="0" w:colLast="0" w:name="_heading=h.37m2jsg" w:id="25"/>
      <w:bookmarkEnd w:id="25"/>
      <w:r w:rsidDel="00000000" w:rsidR="00000000" w:rsidRPr="00000000">
        <w:rPr>
          <w:rFonts w:ascii="Arial" w:cs="Arial" w:eastAsia="Arial" w:hAnsi="Arial"/>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16C">
      <w:pPr>
        <w:numPr>
          <w:ilvl w:val="1"/>
          <w:numId w:val="4"/>
        </w:numPr>
        <w:tabs>
          <w:tab w:val="left" w:leader="none" w:pos="1134"/>
        </w:tabs>
        <w:spacing w:after="120" w:before="120" w:lineRule="auto"/>
        <w:ind w:left="644" w:hanging="360"/>
        <w:jc w:val="left"/>
      </w:pPr>
      <w:bookmarkStart w:colFirst="0" w:colLast="0" w:name="_heading=h.1mrcu09" w:id="26"/>
      <w:bookmarkEnd w:id="26"/>
      <w:r w:rsidDel="00000000" w:rsidR="00000000" w:rsidRPr="00000000">
        <w:rPr>
          <w:rFonts w:ascii="Arial" w:cs="Arial" w:eastAsia="Arial" w:hAnsi="Arial"/>
          <w:sz w:val="24"/>
          <w:szCs w:val="24"/>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6D">
      <w:pPr>
        <w:numPr>
          <w:ilvl w:val="1"/>
          <w:numId w:val="4"/>
        </w:numPr>
        <w:tabs>
          <w:tab w:val="left" w:leader="none" w:pos="1134"/>
        </w:tabs>
        <w:spacing w:after="120" w:before="120" w:lineRule="auto"/>
        <w:ind w:left="644" w:hanging="360"/>
        <w:jc w:val="left"/>
      </w:pPr>
      <w:r w:rsidDel="00000000" w:rsidR="00000000" w:rsidRPr="00000000">
        <w:rPr>
          <w:rFonts w:ascii="Arial" w:cs="Arial" w:eastAsia="Arial" w:hAnsi="Arial"/>
          <w:sz w:val="24"/>
          <w:szCs w:val="24"/>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6E">
      <w:pPr>
        <w:keepNext w:val="1"/>
        <w:numPr>
          <w:ilvl w:val="0"/>
          <w:numId w:val="4"/>
        </w:numPr>
        <w:tabs>
          <w:tab w:val="left" w:leader="none" w:pos="142"/>
        </w:tabs>
        <w:spacing w:before="120" w:lineRule="auto"/>
        <w:ind w:left="360"/>
        <w:jc w:val="left"/>
        <w:rPr>
          <w:smallCaps w:val="1"/>
        </w:rPr>
      </w:pPr>
      <w:r w:rsidDel="00000000" w:rsidR="00000000" w:rsidRPr="00000000">
        <w:rPr>
          <w:rFonts w:ascii="Arial Bold" w:cs="Arial Bold" w:eastAsia="Arial Bold" w:hAnsi="Arial Bold"/>
          <w:b w:val="1"/>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6F">
      <w:pPr>
        <w:keepNext w:val="1"/>
        <w:numPr>
          <w:ilvl w:val="1"/>
          <w:numId w:val="4"/>
        </w:numPr>
        <w:tabs>
          <w:tab w:val="left" w:leader="none" w:pos="1134"/>
        </w:tabs>
        <w:spacing w:after="120" w:before="120" w:lineRule="auto"/>
        <w:ind w:left="644" w:hanging="360"/>
        <w:jc w:val="left"/>
      </w:pPr>
      <w:bookmarkStart w:colFirst="0" w:colLast="0" w:name="_heading=h.46r0co2" w:id="27"/>
      <w:bookmarkEnd w:id="27"/>
      <w:r w:rsidDel="00000000" w:rsidR="00000000" w:rsidRPr="00000000">
        <w:rPr>
          <w:rFonts w:ascii="Arial" w:cs="Arial" w:eastAsia="Arial" w:hAnsi="Arial"/>
          <w:sz w:val="24"/>
          <w:szCs w:val="24"/>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70">
      <w:pPr>
        <w:numPr>
          <w:ilvl w:val="2"/>
          <w:numId w:val="4"/>
        </w:numPr>
        <w:tabs>
          <w:tab w:val="left" w:leader="none" w:pos="1985"/>
        </w:tabs>
        <w:spacing w:after="120" w:before="120" w:lineRule="auto"/>
        <w:ind w:left="2422" w:hanging="720"/>
        <w:jc w:val="left"/>
      </w:pPr>
      <w:r w:rsidDel="00000000" w:rsidR="00000000" w:rsidRPr="00000000">
        <w:rPr>
          <w:rFonts w:ascii="Arial" w:cs="Arial" w:eastAsia="Arial" w:hAnsi="Arial"/>
          <w:sz w:val="24"/>
          <w:szCs w:val="24"/>
          <w:rtl w:val="0"/>
        </w:rPr>
        <w:t xml:space="preserve">the Supplier fails to notify the Relevant Authority of a Financial Distress Event in accordance with Paragraph 3.4; </w:t>
      </w:r>
    </w:p>
    <w:p w:rsidR="00000000" w:rsidDel="00000000" w:rsidP="00000000" w:rsidRDefault="00000000" w:rsidRPr="00000000" w14:paraId="00000171">
      <w:pPr>
        <w:numPr>
          <w:ilvl w:val="2"/>
          <w:numId w:val="4"/>
        </w:numPr>
        <w:tabs>
          <w:tab w:val="left" w:leader="none" w:pos="1985"/>
        </w:tabs>
        <w:spacing w:after="120" w:before="120" w:lineRule="auto"/>
        <w:ind w:left="2422" w:hanging="720"/>
        <w:jc w:val="left"/>
      </w:pPr>
      <w:r w:rsidDel="00000000" w:rsidR="00000000" w:rsidRPr="00000000">
        <w:rPr>
          <w:rFonts w:ascii="Arial" w:cs="Arial" w:eastAsia="Arial" w:hAnsi="Arial"/>
          <w:sz w:val="24"/>
          <w:szCs w:val="24"/>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72">
      <w:pPr>
        <w:numPr>
          <w:ilvl w:val="2"/>
          <w:numId w:val="4"/>
        </w:numPr>
        <w:tabs>
          <w:tab w:val="left" w:leader="none" w:pos="1985"/>
        </w:tabs>
        <w:spacing w:after="120" w:before="120" w:lineRule="auto"/>
        <w:ind w:left="2422" w:hanging="720"/>
        <w:jc w:val="left"/>
      </w:pPr>
      <w:r w:rsidDel="00000000" w:rsidR="00000000" w:rsidRPr="00000000">
        <w:rPr>
          <w:rFonts w:ascii="Arial" w:cs="Arial" w:eastAsia="Arial" w:hAnsi="Arial"/>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73">
      <w:pPr>
        <w:keepNext w:val="1"/>
        <w:numPr>
          <w:ilvl w:val="1"/>
          <w:numId w:val="4"/>
        </w:numPr>
        <w:tabs>
          <w:tab w:val="left" w:leader="none" w:pos="1134"/>
        </w:tabs>
        <w:spacing w:after="120" w:before="120" w:lineRule="auto"/>
        <w:ind w:left="644" w:hanging="360"/>
        <w:jc w:val="left"/>
      </w:pPr>
      <w:r w:rsidDel="00000000" w:rsidR="00000000" w:rsidRPr="00000000">
        <w:rPr>
          <w:rFonts w:ascii="Arial" w:cs="Arial" w:eastAsia="Arial" w:hAnsi="Arial"/>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74">
      <w:pPr>
        <w:keepNext w:val="1"/>
        <w:numPr>
          <w:ilvl w:val="0"/>
          <w:numId w:val="4"/>
        </w:numPr>
        <w:tabs>
          <w:tab w:val="left" w:leader="none" w:pos="142"/>
        </w:tabs>
        <w:spacing w:before="120" w:lineRule="auto"/>
        <w:ind w:left="360"/>
        <w:jc w:val="left"/>
        <w:rPr>
          <w:smallCaps w:val="1"/>
        </w:rPr>
      </w:pPr>
      <w:bookmarkStart w:colFirst="0" w:colLast="0" w:name="_heading=h.2lwamvv" w:id="28"/>
      <w:bookmarkEnd w:id="28"/>
      <w:r w:rsidDel="00000000" w:rsidR="00000000" w:rsidRPr="00000000">
        <w:rPr>
          <w:rFonts w:ascii="Arial Bold" w:cs="Arial Bold" w:eastAsia="Arial Bold" w:hAnsi="Arial Bold"/>
          <w:b w:val="1"/>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175">
      <w:pPr>
        <w:numPr>
          <w:ilvl w:val="1"/>
          <w:numId w:val="4"/>
        </w:numPr>
        <w:tabs>
          <w:tab w:val="left" w:leader="none" w:pos="1134"/>
        </w:tabs>
        <w:spacing w:after="120" w:before="120" w:lineRule="auto"/>
        <w:ind w:left="644" w:hanging="360"/>
        <w:jc w:val="left"/>
      </w:pPr>
      <w:r w:rsidDel="00000000" w:rsidR="00000000" w:rsidRPr="00000000">
        <w:rPr>
          <w:rFonts w:ascii="Arial" w:cs="Arial" w:eastAsia="Arial" w:hAnsi="Arial"/>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76">
      <w:pPr>
        <w:numPr>
          <w:ilvl w:val="2"/>
          <w:numId w:val="4"/>
        </w:numPr>
        <w:tabs>
          <w:tab w:val="left" w:leader="none" w:pos="1985"/>
        </w:tabs>
        <w:spacing w:after="120" w:before="120" w:lineRule="auto"/>
        <w:ind w:left="2422" w:hanging="720"/>
        <w:jc w:val="left"/>
      </w:pPr>
      <w:r w:rsidDel="00000000" w:rsidR="00000000" w:rsidRPr="00000000">
        <w:rPr>
          <w:rFonts w:ascii="Arial" w:cs="Arial" w:eastAsia="Arial" w:hAnsi="Arial"/>
          <w:sz w:val="24"/>
          <w:szCs w:val="24"/>
          <w:rtl w:val="0"/>
        </w:rPr>
        <w:t xml:space="preserve">the Supplier shall be relieved automatically of its obligations under Paragraphs 4.3 to 4.6; and</w:t>
      </w:r>
    </w:p>
    <w:p w:rsidR="00000000" w:rsidDel="00000000" w:rsidP="00000000" w:rsidRDefault="00000000" w:rsidRPr="00000000" w14:paraId="00000177">
      <w:pPr>
        <w:numPr>
          <w:ilvl w:val="2"/>
          <w:numId w:val="4"/>
        </w:numPr>
        <w:tabs>
          <w:tab w:val="left" w:leader="none" w:pos="1985"/>
        </w:tabs>
        <w:spacing w:after="120" w:before="120" w:lineRule="auto"/>
        <w:ind w:left="2422" w:hanging="720"/>
        <w:jc w:val="left"/>
      </w:pPr>
      <w:r w:rsidDel="00000000" w:rsidR="00000000" w:rsidRPr="00000000">
        <w:rPr>
          <w:rFonts w:ascii="Arial" w:cs="Arial" w:eastAsia="Arial" w:hAnsi="Arial"/>
          <w:sz w:val="24"/>
          <w:szCs w:val="24"/>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spacing w:after="0" w:lineRule="auto"/>
        <w:jc w:val="left"/>
        <w:rPr>
          <w:rFonts w:ascii="Arial" w:cs="Arial" w:eastAsia="Arial" w:hAnsi="Arial"/>
          <w:color w:val="ffffff"/>
          <w:sz w:val="24"/>
          <w:szCs w:val="24"/>
        </w:rPr>
      </w:pPr>
      <w:bookmarkStart w:colFirst="0" w:colLast="0" w:name="_heading=h.4i7ojhp" w:id="29"/>
      <w:bookmarkEnd w:id="29"/>
      <w:r w:rsidDel="00000000" w:rsidR="00000000" w:rsidRPr="00000000">
        <w:rPr>
          <w:rtl w:val="0"/>
        </w:rPr>
      </w:r>
    </w:p>
    <w:p w:rsidR="00000000" w:rsidDel="00000000" w:rsidP="00000000" w:rsidRDefault="00000000" w:rsidRPr="00000000" w14:paraId="0000017A">
      <w:pPr>
        <w:keepNext w:val="1"/>
        <w:ind w:firstLine="426"/>
        <w:jc w:val="left"/>
        <w:rPr>
          <w:rFonts w:ascii="Arial" w:cs="Arial" w:eastAsia="Arial" w:hAnsi="Arial"/>
          <w:b w:val="1"/>
          <w:smallCaps w:val="1"/>
          <w:sz w:val="24"/>
          <w:szCs w:val="24"/>
        </w:rPr>
      </w:pPr>
      <w:bookmarkStart w:colFirst="0" w:colLast="0" w:name="_heading=h.111kx3o" w:id="30"/>
      <w:bookmarkEnd w:id="30"/>
      <w:r w:rsidDel="00000000" w:rsidR="00000000" w:rsidRPr="00000000">
        <w:br w:type="page"/>
      </w:r>
      <w:r w:rsidDel="00000000" w:rsidR="00000000" w:rsidRPr="00000000">
        <w:rPr>
          <w:rtl w:val="0"/>
        </w:rPr>
      </w:r>
    </w:p>
    <w:p w:rsidR="00000000" w:rsidDel="00000000" w:rsidP="00000000" w:rsidRDefault="00000000" w:rsidRPr="00000000" w14:paraId="0000017B">
      <w:pPr>
        <w:keepNext w:val="1"/>
        <w:ind w:firstLine="426"/>
        <w:jc w:val="left"/>
        <w:rPr>
          <w:rFonts w:ascii="Arial" w:cs="Arial" w:eastAsia="Arial" w:hAnsi="Arial"/>
          <w:b w:val="1"/>
          <w:smallCaps w:val="1"/>
          <w:sz w:val="36"/>
          <w:szCs w:val="36"/>
        </w:rPr>
      </w:pPr>
      <w:bookmarkStart w:colFirst="0" w:colLast="0" w:name="_heading=h.3l18frh" w:id="31"/>
      <w:bookmarkEnd w:id="31"/>
      <w:r w:rsidDel="00000000" w:rsidR="00000000" w:rsidRPr="00000000">
        <w:rPr>
          <w:rFonts w:ascii="Arial" w:cs="Arial" w:eastAsia="Arial" w:hAnsi="Arial"/>
          <w:b w:val="1"/>
          <w:smallCaps w:val="1"/>
          <w:sz w:val="36"/>
          <w:szCs w:val="36"/>
          <w:rtl w:val="0"/>
        </w:rPr>
        <w:t xml:space="preserve">Appendix 1: RATING AGENCIES</w:t>
      </w:r>
    </w:p>
    <w:p w:rsidR="00000000" w:rsidDel="00000000" w:rsidP="00000000" w:rsidRDefault="00000000" w:rsidRPr="00000000" w14:paraId="0000017C">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[Rating Agency 1]</w:t>
      </w:r>
    </w:p>
    <w:p w:rsidR="00000000" w:rsidDel="00000000" w:rsidP="00000000" w:rsidRDefault="00000000" w:rsidRPr="00000000" w14:paraId="0000017D">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[Rating Agency 2]</w:t>
      </w:r>
    </w:p>
    <w:p w:rsidR="00000000" w:rsidDel="00000000" w:rsidP="00000000" w:rsidRDefault="00000000" w:rsidRPr="00000000" w14:paraId="0000017E">
      <w:pPr>
        <w:keepNext w:val="1"/>
        <w:ind w:firstLine="426"/>
        <w:jc w:val="left"/>
        <w:rPr>
          <w:rFonts w:ascii="Arial" w:cs="Arial" w:eastAsia="Arial" w:hAnsi="Arial"/>
          <w:b w:val="1"/>
          <w:smallCaps w:val="1"/>
          <w:sz w:val="24"/>
          <w:szCs w:val="24"/>
        </w:rPr>
      </w:pPr>
      <w:bookmarkStart w:colFirst="0" w:colLast="0" w:name="_heading=h.206ipza" w:id="32"/>
      <w:bookmarkEnd w:id="32"/>
      <w:r w:rsidDel="00000000" w:rsidR="00000000" w:rsidRPr="00000000">
        <w:br w:type="page"/>
      </w:r>
      <w:r w:rsidDel="00000000" w:rsidR="00000000" w:rsidRPr="00000000">
        <w:rPr>
          <w:rFonts w:ascii="Arial" w:cs="Arial" w:eastAsia="Arial" w:hAnsi="Arial"/>
          <w:b w:val="1"/>
          <w:smallCaps w:val="1"/>
          <w:sz w:val="36"/>
          <w:szCs w:val="36"/>
          <w:rtl w:val="0"/>
        </w:rPr>
        <w:t xml:space="preserve">Appendix 2: CREDIT RATINGS &amp; CREDIT RATING THRESHOLDS</w:t>
      </w:r>
      <w:r w:rsidDel="00000000" w:rsidR="00000000" w:rsidRPr="00000000">
        <w:rPr>
          <w:rtl w:val="0"/>
        </w:rPr>
      </w:r>
    </w:p>
    <w:p w:rsidR="00000000" w:rsidDel="00000000" w:rsidP="00000000" w:rsidRDefault="00000000" w:rsidRPr="00000000" w14:paraId="0000017F">
      <w:pPr>
        <w:keepNext w:val="1"/>
        <w:ind w:firstLine="426"/>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Part 1: Current Rating</w:t>
      </w:r>
      <w:r w:rsidDel="00000000" w:rsidR="00000000" w:rsidRPr="00000000">
        <w:rPr>
          <w:rtl w:val="0"/>
        </w:rPr>
      </w:r>
    </w:p>
    <w:tbl>
      <w:tblPr>
        <w:tblStyle w:val="Table7"/>
        <w:tblW w:w="6255.0" w:type="dxa"/>
        <w:jc w:val="left"/>
        <w:tblInd w:w="-115.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2085"/>
        <w:gridCol w:w="4065"/>
        <w:gridCol w:w="105"/>
        <w:tblGridChange w:id="0">
          <w:tblGrid>
            <w:gridCol w:w="2085"/>
            <w:gridCol w:w="4065"/>
            <w:gridCol w:w="105"/>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80">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81">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tcBorders>
              <w:top w:color="000000" w:space="0" w:sz="4" w:val="single"/>
            </w:tcBorders>
            <w:shd w:fill="ffffff" w:val="clear"/>
          </w:tcPr>
          <w:p w:rsidR="00000000" w:rsidDel="00000000" w:rsidP="00000000" w:rsidRDefault="00000000" w:rsidRPr="00000000" w14:paraId="00000182">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Supplier</w:t>
            </w:r>
            <w:r w:rsidDel="00000000" w:rsidR="00000000" w:rsidRPr="00000000">
              <w:rPr>
                <w:rtl w:val="0"/>
              </w:rPr>
            </w:r>
          </w:p>
        </w:tc>
        <w:tc>
          <w:tcPr>
            <w:shd w:fill="ffffff" w:val="clear"/>
          </w:tcPr>
          <w:p w:rsidR="00000000" w:rsidDel="00000000" w:rsidP="00000000" w:rsidRDefault="00000000" w:rsidRPr="00000000" w14:paraId="00000183">
            <w:pPr>
              <w:keepNext w:val="1"/>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[D&amp;B Threshold - Minimum 55]</w:t>
            </w:r>
          </w:p>
        </w:tc>
      </w:tr>
      <w:tr>
        <w:trPr>
          <w:cantSplit w:val="0"/>
          <w:tblHeader w:val="0"/>
        </w:trPr>
        <w:tc>
          <w:tcPr>
            <w:tcBorders>
              <w:top w:color="000000" w:space="0" w:sz="4" w:val="single"/>
            </w:tcBorders>
            <w:shd w:fill="ffffff" w:val="clear"/>
          </w:tcPr>
          <w:p w:rsidR="00000000" w:rsidDel="00000000" w:rsidP="00000000" w:rsidRDefault="00000000" w:rsidRPr="00000000" w14:paraId="00000184">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185">
            <w:pPr>
              <w:keepNext w:val="1"/>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[D&amp;B Threshold - Minimum 55]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186">
            <w:pPr>
              <w:keepNext w:val="1"/>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shd w:fill="ffffff" w:val="clear"/>
          </w:tcPr>
          <w:p w:rsidR="00000000" w:rsidDel="00000000" w:rsidP="00000000" w:rsidRDefault="00000000" w:rsidRPr="00000000" w14:paraId="00000187">
            <w:pPr>
              <w:keepNext w:val="1"/>
              <w:spacing w:after="120" w:before="240" w:lineRule="auto"/>
              <w:ind w:left="14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[D&amp;B Threshold - Minimum 55]</w:t>
            </w:r>
          </w:p>
        </w:tc>
      </w:tr>
    </w:tbl>
    <w:p w:rsidR="00000000" w:rsidDel="00000000" w:rsidP="00000000" w:rsidRDefault="00000000" w:rsidRPr="00000000" w14:paraId="00000188">
      <w:pPr>
        <w:spacing w:after="200" w:line="276" w:lineRule="auto"/>
        <w:jc w:val="left"/>
        <w:rPr>
          <w:rFonts w:ascii="Arial" w:cs="Arial" w:eastAsia="Arial" w:hAnsi="Arial"/>
          <w:sz w:val="24"/>
          <w:szCs w:val="24"/>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76698887.1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F">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1">
    <w:pPr>
      <w:spacing w:after="0" w:lineRule="auto"/>
      <w:rPr>
        <w:color w:val="bfbfbf"/>
      </w:rPr>
    </w:pPr>
    <w:r w:rsidDel="00000000" w:rsidR="00000000" w:rsidRPr="00000000">
      <w:rPr>
        <w:color w:val="bfbfbf"/>
        <w:rtl w:val="0"/>
      </w:rPr>
      <w:t xml:space="preserve">Model Version : v3.0</w:t>
      <w:tab/>
      <w:tab/>
      <w:tab/>
      <w:tab/>
    </w:r>
  </w:p>
  <w:p w:rsidR="00000000" w:rsidDel="00000000" w:rsidP="00000000" w:rsidRDefault="00000000" w:rsidRPr="00000000" w14:paraId="00000192">
    <w:pPr>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76698887.1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tab/>
      <w:t xml:space="preserve">                                           </w:t>
    </w:r>
  </w:p>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5">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p w:rsidR="00000000" w:rsidDel="00000000" w:rsidP="00000000" w:rsidRDefault="00000000" w:rsidRPr="00000000" w14:paraId="0000019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76698887.1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rsid w:val="00A96D9C"/>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semiHidden w:val="1"/>
    <w:unhideWhenUsed w:val="1"/>
    <w:qFormat w:val="1"/>
    <w:rsid w:val="00A96D9C"/>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A96D9C"/>
    <w:pPr>
      <w:keepNext w:val="1"/>
      <w:keepLines w:val="1"/>
      <w:spacing w:after="80" w:before="280"/>
      <w:outlineLvl w:val="2"/>
    </w:pPr>
    <w:rPr>
      <w:b w:val="1"/>
      <w:sz w:val="28"/>
      <w:szCs w:val="28"/>
    </w:rPr>
  </w:style>
  <w:style w:type="paragraph" w:styleId="Heading4">
    <w:name w:val="heading 4"/>
    <w:basedOn w:val="Normal"/>
    <w:next w:val="Normal"/>
    <w:link w:val="Heading4Char"/>
    <w:uiPriority w:val="9"/>
    <w:semiHidden w:val="1"/>
    <w:unhideWhenUsed w:val="1"/>
    <w:qFormat w:val="1"/>
    <w:rsid w:val="00A96D9C"/>
    <w:pPr>
      <w:keepNext w:val="1"/>
      <w:keepLines w:val="1"/>
      <w:spacing w:after="40" w:before="240"/>
      <w:outlineLvl w:val="3"/>
    </w:pPr>
    <w:rPr>
      <w:b w:val="1"/>
      <w:sz w:val="24"/>
      <w:szCs w:val="24"/>
    </w:rPr>
  </w:style>
  <w:style w:type="paragraph" w:styleId="Heading5">
    <w:name w:val="heading 5"/>
    <w:basedOn w:val="Normal"/>
    <w:next w:val="Normal"/>
    <w:link w:val="Heading5Char"/>
    <w:uiPriority w:val="9"/>
    <w:semiHidden w:val="1"/>
    <w:unhideWhenUsed w:val="1"/>
    <w:qFormat w:val="1"/>
    <w:rsid w:val="00A96D9C"/>
    <w:pPr>
      <w:keepNext w:val="1"/>
      <w:keepLines w:val="1"/>
      <w:spacing w:after="40" w:before="220"/>
      <w:outlineLvl w:val="4"/>
    </w:pPr>
    <w:rPr>
      <w:b w:val="1"/>
    </w:rPr>
  </w:style>
  <w:style w:type="paragraph" w:styleId="Heading6">
    <w:name w:val="heading 6"/>
    <w:basedOn w:val="Normal"/>
    <w:next w:val="Normal"/>
    <w:link w:val="Heading6Char"/>
    <w:uiPriority w:val="9"/>
    <w:semiHidden w:val="1"/>
    <w:unhideWhenUsed w:val="1"/>
    <w:qFormat w:val="1"/>
    <w:rsid w:val="00A96D9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A96D9C"/>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after="0"/>
    </w:pPr>
    <w:rPr>
      <w:sz w:val="20"/>
      <w:szCs w:val="20"/>
    </w:rPr>
    <w:tblPr>
      <w:tblStyleRowBandSize w:val="1"/>
      <w:tblStyleColBandSize w:val="1"/>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pPr>
    <w:rPr>
      <w:sz w:val="20"/>
      <w:szCs w:val="20"/>
    </w:rPr>
    <w:tblPr>
      <w:tblStyleRowBandSize w:val="1"/>
      <w:tblStyleColBandSize w:val="1"/>
      <w:tblCellMar>
        <w:left w:w="115.0" w:type="dxa"/>
        <w:right w:w="115.0" w:type="dxa"/>
      </w:tblCellMar>
    </w:tblPr>
  </w:style>
  <w:style w:type="table" w:styleId="a9" w:customStyle="1">
    <w:basedOn w:val="TableNormal"/>
    <w:pPr>
      <w:spacing w:after="0"/>
    </w:pPr>
    <w:rPr>
      <w:sz w:val="20"/>
      <w:szCs w:val="20"/>
    </w:rPr>
    <w:tblPr>
      <w:tblStyleRowBandSize w:val="1"/>
      <w:tblStyleColBandSize w:val="1"/>
      <w:tblCellMar>
        <w:left w:w="115.0" w:type="dxa"/>
        <w:right w:w="115.0" w:type="dxa"/>
      </w:tblCellMar>
    </w:tblPr>
  </w:style>
  <w:style w:type="table" w:styleId="aa" w:customStyle="1">
    <w:basedOn w:val="TableNormal"/>
    <w:pPr>
      <w:spacing w:after="0"/>
    </w:pPr>
    <w:rPr>
      <w:sz w:val="20"/>
      <w:szCs w:val="20"/>
    </w:rPr>
    <w:tblPr>
      <w:tblStyleRowBandSize w:val="1"/>
      <w:tblStyleColBandSize w:val="1"/>
      <w:tblCellMar>
        <w:left w:w="115.0" w:type="dxa"/>
        <w:right w:w="115.0" w:type="dxa"/>
      </w:tblCellMar>
    </w:tblPr>
  </w:style>
  <w:style w:type="table" w:styleId="ab" w:customStyle="1">
    <w:basedOn w:val="TableNormal"/>
    <w:pPr>
      <w:spacing w:after="0"/>
    </w:pPr>
    <w:rPr>
      <w:sz w:val="20"/>
      <w:szCs w:val="20"/>
    </w:rPr>
    <w:tblPr>
      <w:tblStyleRowBandSize w:val="1"/>
      <w:tblStyleColBandSize w:val="1"/>
      <w:tblCellMar>
        <w:left w:w="115.0" w:type="dxa"/>
        <w:right w:w="115.0" w:type="dxa"/>
      </w:tblCellMar>
    </w:tblPr>
  </w:style>
  <w:style w:type="table" w:styleId="ac" w:customStyle="1">
    <w:basedOn w:val="TableNormal"/>
    <w:pPr>
      <w:spacing w:after="0"/>
    </w:pPr>
    <w:rPr>
      <w:sz w:val="20"/>
      <w:szCs w:val="20"/>
    </w:rPr>
    <w:tblPr>
      <w:tblStyleRowBandSize w:val="1"/>
      <w:tblStyleColBandSize w:val="1"/>
      <w:tblCellMar>
        <w:left w:w="115.0" w:type="dxa"/>
        <w:right w:w="115.0" w:type="dxa"/>
      </w:tblCellMar>
    </w:tblPr>
  </w:style>
  <w:style w:type="table" w:styleId="ad" w:customStyle="1">
    <w:basedOn w:val="TableNormal"/>
    <w:pPr>
      <w:spacing w:after="0"/>
    </w:pPr>
    <w:rPr>
      <w:sz w:val="20"/>
      <w:szCs w:val="20"/>
    </w:rPr>
    <w:tblPr>
      <w:tblStyleRowBandSize w:val="1"/>
      <w:tblStyleColBandSize w:val="1"/>
      <w:tblCellMar>
        <w:left w:w="115.0" w:type="dxa"/>
        <w:right w:w="115.0" w:type="dxa"/>
      </w:tblCellMar>
    </w:tblPr>
  </w:style>
  <w:style w:type="table" w:styleId="ae" w:customStyle="1">
    <w:basedOn w:val="TableNormal"/>
    <w:pPr>
      <w:spacing w:after="0"/>
    </w:pPr>
    <w:rPr>
      <w:sz w:val="20"/>
      <w:szCs w:val="20"/>
    </w:rPr>
    <w:tblPr>
      <w:tblStyleRowBandSize w:val="1"/>
      <w:tblStyleColBandSize w:val="1"/>
      <w:tblCellMar>
        <w:left w:w="115.0" w:type="dxa"/>
        <w:right w:w="115.0" w:type="dxa"/>
      </w:tblCellMar>
    </w:tblPr>
  </w:style>
  <w:style w:type="table" w:styleId="af" w:customStyle="1">
    <w:basedOn w:val="TableNormal"/>
    <w:pPr>
      <w:spacing w:after="0"/>
    </w:pPr>
    <w:rPr>
      <w:sz w:val="20"/>
      <w:szCs w:val="20"/>
    </w:rPr>
    <w:tblPr>
      <w:tblStyleRowBandSize w:val="1"/>
      <w:tblStyleColBandSize w:val="1"/>
      <w:tblCellMar>
        <w:left w:w="115.0" w:type="dxa"/>
        <w:right w:w="115.0" w:type="dxa"/>
      </w:tblCellMar>
    </w:tblPr>
  </w:style>
  <w:style w:type="table" w:styleId="af0" w:customStyle="1">
    <w:basedOn w:val="TableNormal"/>
    <w:pPr>
      <w:spacing w:after="0"/>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pPr>
    <w:rPr>
      <w:sz w:val="20"/>
      <w:szCs w:val="20"/>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pPr>
    <w:rPr>
      <w:sz w:val="20"/>
      <w:szCs w:val="20"/>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pPr>
    <w:rPr>
      <w:sz w:val="20"/>
      <w:szCs w:val="20"/>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pPr>
    <w:rPr>
      <w:sz w:val="20"/>
      <w:szCs w:val="20"/>
    </w:rPr>
    <w:tblPr>
      <w:tblStyleRowBandSize w:val="1"/>
      <w:tblStyleColBandSize w:val="1"/>
      <w:tblCellMar>
        <w:top w:w="100.0" w:type="dxa"/>
        <w:left w:w="115.0" w:type="dxa"/>
        <w:bottom w:w="100.0" w:type="dxa"/>
        <w:right w:w="115.0" w:type="dxa"/>
      </w:tblCellMar>
    </w:tblPr>
  </w:style>
  <w:style w:type="table" w:styleId="Table6">
    <w:basedOn w:val="TableNormal"/>
    <w:pPr>
      <w:spacing w:after="0" w:lineRule="auto"/>
    </w:pPr>
    <w:rPr>
      <w:sz w:val="20"/>
      <w:szCs w:val="20"/>
    </w:rPr>
    <w:tblPr>
      <w:tblStyleRowBandSize w:val="1"/>
      <w:tblStyleColBandSize w:val="1"/>
      <w:tblCellMar>
        <w:top w:w="100.0" w:type="dxa"/>
        <w:left w:w="115.0" w:type="dxa"/>
        <w:bottom w:w="100.0" w:type="dxa"/>
        <w:right w:w="115.0" w:type="dxa"/>
      </w:tblCellMar>
    </w:tblPr>
  </w:style>
  <w:style w:type="table" w:styleId="Table7">
    <w:basedOn w:val="TableNormal"/>
    <w:pPr>
      <w:spacing w:after="0" w:lineRule="auto"/>
    </w:pPr>
    <w:rPr>
      <w:sz w:val="20"/>
      <w:szCs w:val="20"/>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x+BXSR3q37JVsp7xrJwOJOPbJw==">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2023-02-09T12:24:00Z</dcterms:created>
  <dc:creator>Nathan Fox</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76698887.1</vt:lpwstr>
  </property>
  <property fmtid="{D5CDD505-2E9C-101B-9397-08002B2CF9AE}" pid="4" name="DocID">
    <vt:lpwstr>76698887.1</vt:lpwstr>
  </property>
  <property fmtid="{D5CDD505-2E9C-101B-9397-08002B2CF9AE}" pid="5" name="gCurrentVersion">
    <vt:lpwstr>17 November 2017 D1V5</vt:lpwstr>
  </property>
</Properties>
</file>